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2F4E" w14:textId="5CBC9D88" w:rsidR="00BE4BE2" w:rsidRPr="001A70F9" w:rsidRDefault="00573484" w:rsidP="001A70F9">
      <w:pPr>
        <w:pStyle w:val="rvps2"/>
        <w:shd w:val="clear" w:color="auto" w:fill="FFFFFF"/>
        <w:spacing w:before="0" w:beforeAutospacing="0" w:after="0" w:afterAutospacing="0"/>
        <w:jc w:val="center"/>
        <w:rPr>
          <w:rStyle w:val="rvts44"/>
          <w:b/>
          <w:bCs/>
          <w:color w:val="000000" w:themeColor="text1"/>
          <w:lang w:val="uk-UA"/>
        </w:rPr>
      </w:pPr>
      <w:r w:rsidRPr="001A70F9">
        <w:rPr>
          <w:rStyle w:val="rvts44"/>
          <w:b/>
          <w:bCs/>
          <w:color w:val="000000" w:themeColor="text1"/>
          <w:lang w:val="uk-UA"/>
        </w:rPr>
        <w:t xml:space="preserve">Порядок розгляду </w:t>
      </w:r>
      <w:r w:rsidR="00BE4BE2" w:rsidRPr="001A70F9">
        <w:rPr>
          <w:rStyle w:val="rvts44"/>
          <w:b/>
          <w:bCs/>
          <w:color w:val="000000" w:themeColor="text1"/>
          <w:lang w:val="uk-UA"/>
        </w:rPr>
        <w:t xml:space="preserve"> про</w:t>
      </w:r>
      <w:r w:rsidR="00BE4BE2" w:rsidRPr="001A70F9">
        <w:rPr>
          <w:rStyle w:val="rvts9"/>
          <w:b/>
          <w:bCs/>
          <w:color w:val="000000" w:themeColor="text1"/>
          <w:lang w:val="uk-UA"/>
        </w:rPr>
        <w:t>е</w:t>
      </w:r>
      <w:r w:rsidR="00BE4BE2" w:rsidRPr="001A70F9">
        <w:rPr>
          <w:rStyle w:val="rvts44"/>
          <w:b/>
          <w:bCs/>
          <w:color w:val="000000" w:themeColor="text1"/>
          <w:lang w:val="uk-UA"/>
        </w:rPr>
        <w:t>ктно-кошторисної документації</w:t>
      </w:r>
    </w:p>
    <w:p w14:paraId="4AF44F1C" w14:textId="77777777" w:rsidR="00467567" w:rsidRPr="00414584" w:rsidRDefault="00467567" w:rsidP="00467567">
      <w:pPr>
        <w:pStyle w:val="rvps2"/>
        <w:shd w:val="clear" w:color="auto" w:fill="FFFFFF"/>
        <w:spacing w:before="0" w:beforeAutospacing="0" w:after="0" w:afterAutospacing="0"/>
        <w:ind w:firstLine="709"/>
        <w:jc w:val="center"/>
        <w:rPr>
          <w:rStyle w:val="rvts44"/>
          <w:color w:val="000000" w:themeColor="text1"/>
          <w:lang w:val="uk-UA"/>
        </w:rPr>
      </w:pPr>
    </w:p>
    <w:p w14:paraId="4D835EA5" w14:textId="6301CB33" w:rsidR="00573484" w:rsidRPr="003E4284" w:rsidRDefault="00467567" w:rsidP="001A70F9">
      <w:pPr>
        <w:pStyle w:val="rvps2"/>
        <w:numPr>
          <w:ilvl w:val="0"/>
          <w:numId w:val="1"/>
        </w:numPr>
        <w:shd w:val="clear" w:color="auto" w:fill="FFFFFF"/>
        <w:spacing w:before="0" w:beforeAutospacing="0" w:after="0" w:afterAutospacing="0"/>
        <w:ind w:left="0" w:firstLine="0"/>
        <w:jc w:val="center"/>
        <w:rPr>
          <w:rStyle w:val="rvts44"/>
          <w:b/>
          <w:bCs/>
          <w:color w:val="000000" w:themeColor="text1"/>
          <w:lang w:val="uk-UA"/>
        </w:rPr>
      </w:pPr>
      <w:r w:rsidRPr="003E4284">
        <w:rPr>
          <w:rStyle w:val="rvts44"/>
          <w:b/>
          <w:bCs/>
          <w:color w:val="000000" w:themeColor="text1"/>
          <w:lang w:val="uk-UA"/>
        </w:rPr>
        <w:t>Загальні положення</w:t>
      </w:r>
    </w:p>
    <w:p w14:paraId="6EB94CE4" w14:textId="43B7E6CC" w:rsidR="00A84244" w:rsidRPr="003E4284" w:rsidRDefault="00BE4BE2" w:rsidP="00467567">
      <w:pPr>
        <w:pStyle w:val="a3"/>
        <w:numPr>
          <w:ilvl w:val="1"/>
          <w:numId w:val="8"/>
        </w:numPr>
        <w:spacing w:before="120" w:beforeAutospacing="0" w:after="0" w:afterAutospacing="0"/>
        <w:ind w:left="0" w:firstLine="709"/>
        <w:jc w:val="both"/>
        <w:rPr>
          <w:lang w:val="uk-UA"/>
        </w:rPr>
      </w:pPr>
      <w:r w:rsidRPr="003E4284">
        <w:rPr>
          <w:lang w:val="uk-UA"/>
        </w:rPr>
        <w:t>У разі стандартного та нестандартного приєднання "під ключ"</w:t>
      </w:r>
      <w:r w:rsidR="00A84244" w:rsidRPr="003E4284">
        <w:rPr>
          <w:lang w:val="uk-UA"/>
        </w:rPr>
        <w:t xml:space="preserve">, розроблення </w:t>
      </w:r>
      <w:r w:rsidR="002F2DA0" w:rsidRPr="003E4284">
        <w:rPr>
          <w:lang w:val="uk-UA"/>
        </w:rPr>
        <w:t xml:space="preserve">та узгодження із </w:t>
      </w:r>
      <w:r w:rsidR="002F2DA0" w:rsidRPr="003E4284">
        <w:rPr>
          <w:rFonts w:eastAsia="Times New Roman"/>
          <w:color w:val="333333"/>
          <w:lang w:val="uk-UA"/>
        </w:rPr>
        <w:t>заінтересованими сторонами</w:t>
      </w:r>
      <w:r w:rsidR="002F2DA0" w:rsidRPr="003E4284">
        <w:rPr>
          <w:lang w:val="uk-UA"/>
        </w:rPr>
        <w:t xml:space="preserve"> </w:t>
      </w:r>
      <w:r w:rsidR="00A84244" w:rsidRPr="003E4284">
        <w:rPr>
          <w:lang w:val="uk-UA"/>
        </w:rPr>
        <w:t>проєктно-кошторисної документації (далі ПКД) здійснюється:</w:t>
      </w:r>
    </w:p>
    <w:p w14:paraId="7C0E6739" w14:textId="6AFB0E4E" w:rsidR="00A84244" w:rsidRPr="003E4284" w:rsidRDefault="002F2DA0" w:rsidP="00A84244">
      <w:pPr>
        <w:pStyle w:val="a3"/>
        <w:numPr>
          <w:ilvl w:val="2"/>
          <w:numId w:val="1"/>
        </w:numPr>
        <w:spacing w:before="120" w:beforeAutospacing="0" w:after="0" w:afterAutospacing="0"/>
        <w:ind w:left="0" w:firstLine="709"/>
        <w:jc w:val="both"/>
        <w:rPr>
          <w:lang w:val="uk-UA"/>
        </w:rPr>
      </w:pPr>
      <w:r w:rsidRPr="003E4284">
        <w:rPr>
          <w:b/>
          <w:bCs/>
          <w:lang w:val="uk-UA"/>
        </w:rPr>
        <w:t xml:space="preserve">Оператором системи розподілу (далі </w:t>
      </w:r>
      <w:r w:rsidR="005A7BD6" w:rsidRPr="003E4284">
        <w:rPr>
          <w:b/>
          <w:bCs/>
          <w:lang w:val="uk-UA"/>
        </w:rPr>
        <w:t>ОСР</w:t>
      </w:r>
      <w:r w:rsidRPr="003E4284">
        <w:rPr>
          <w:b/>
          <w:bCs/>
          <w:lang w:val="uk-UA"/>
        </w:rPr>
        <w:t>)</w:t>
      </w:r>
      <w:r w:rsidR="005A7BD6" w:rsidRPr="003E4284">
        <w:rPr>
          <w:lang w:val="uk-UA"/>
        </w:rPr>
        <w:t xml:space="preserve"> </w:t>
      </w:r>
      <w:r w:rsidR="00BE4BE2" w:rsidRPr="003E4284">
        <w:rPr>
          <w:lang w:val="uk-UA"/>
        </w:rPr>
        <w:t>на електроустановки зовнішнього електрозабезпечення</w:t>
      </w:r>
      <w:r w:rsidR="001578DB" w:rsidRPr="003E4284">
        <w:rPr>
          <w:rFonts w:eastAsia="Times New Roman"/>
          <w:color w:val="333333"/>
          <w:lang w:val="uk-UA"/>
        </w:rPr>
        <w:t xml:space="preserve"> електроустановок замовника</w:t>
      </w:r>
      <w:r w:rsidR="005A7BD6" w:rsidRPr="003E4284">
        <w:rPr>
          <w:lang w:val="uk-UA"/>
        </w:rPr>
        <w:t xml:space="preserve"> </w:t>
      </w:r>
      <w:r w:rsidR="005A7BD6" w:rsidRPr="003E4284">
        <w:rPr>
          <w:rFonts w:eastAsia="Times New Roman"/>
          <w:color w:val="333333"/>
          <w:lang w:val="uk-UA"/>
        </w:rPr>
        <w:t>(від точки забезпечення потужності до точки приєднання електроустановок замовника</w:t>
      </w:r>
      <w:r w:rsidR="00A67A5F" w:rsidRPr="003E4284">
        <w:rPr>
          <w:rFonts w:eastAsia="Times New Roman"/>
          <w:color w:val="333333"/>
          <w:lang w:val="uk-UA"/>
        </w:rPr>
        <w:t xml:space="preserve"> розташованої на межі земельної ділянки замовника або, за згодою замовника, на території цієї земельної ділянки</w:t>
      </w:r>
      <w:r w:rsidR="005A7BD6" w:rsidRPr="003E4284">
        <w:rPr>
          <w:rFonts w:eastAsia="Times New Roman"/>
          <w:color w:val="333333"/>
          <w:lang w:val="uk-UA"/>
        </w:rPr>
        <w:t xml:space="preserve">) </w:t>
      </w:r>
      <w:r w:rsidR="005A7BD6" w:rsidRPr="003E4284">
        <w:rPr>
          <w:lang w:val="uk-UA"/>
        </w:rPr>
        <w:t>до складу якої включається ввідний пристрій з дообліковим ввідним комутаційним апаратом</w:t>
      </w:r>
      <w:r w:rsidR="00A84244" w:rsidRPr="003E4284">
        <w:rPr>
          <w:lang w:val="uk-UA"/>
        </w:rPr>
        <w:t>;</w:t>
      </w:r>
    </w:p>
    <w:p w14:paraId="67DB6975" w14:textId="6F900E6E" w:rsidR="005A7BD6" w:rsidRPr="003E4284" w:rsidRDefault="005A7BD6" w:rsidP="00A84244">
      <w:pPr>
        <w:pStyle w:val="a3"/>
        <w:numPr>
          <w:ilvl w:val="2"/>
          <w:numId w:val="1"/>
        </w:numPr>
        <w:spacing w:before="120" w:beforeAutospacing="0" w:after="0" w:afterAutospacing="0"/>
        <w:ind w:left="0" w:firstLine="709"/>
        <w:jc w:val="both"/>
        <w:rPr>
          <w:lang w:val="uk-UA"/>
        </w:rPr>
      </w:pPr>
      <w:r w:rsidRPr="003E4284">
        <w:rPr>
          <w:b/>
          <w:bCs/>
          <w:lang w:val="uk-UA"/>
        </w:rPr>
        <w:t>Замовником</w:t>
      </w:r>
      <w:r w:rsidRPr="003E4284">
        <w:rPr>
          <w:lang w:val="uk-UA"/>
        </w:rPr>
        <w:t xml:space="preserve"> </w:t>
      </w:r>
      <w:r w:rsidR="002F2DA0" w:rsidRPr="003E4284">
        <w:rPr>
          <w:b/>
          <w:bCs/>
          <w:lang w:val="uk-UA"/>
        </w:rPr>
        <w:t>послуги з приєднання</w:t>
      </w:r>
      <w:r w:rsidR="002F2DA0" w:rsidRPr="003E4284">
        <w:rPr>
          <w:lang w:val="uk-UA"/>
        </w:rPr>
        <w:t xml:space="preserve"> </w:t>
      </w:r>
      <w:r w:rsidR="00A84244" w:rsidRPr="003E4284">
        <w:rPr>
          <w:lang w:val="uk-UA"/>
        </w:rPr>
        <w:t xml:space="preserve">та </w:t>
      </w:r>
      <w:r w:rsidR="002F2DA0" w:rsidRPr="003E4284">
        <w:rPr>
          <w:lang w:val="uk-UA"/>
        </w:rPr>
        <w:t>уз</w:t>
      </w:r>
      <w:r w:rsidR="00A84244" w:rsidRPr="003E4284">
        <w:rPr>
          <w:lang w:val="uk-UA"/>
        </w:rPr>
        <w:t xml:space="preserve">годжується з ОСР, </w:t>
      </w:r>
      <w:r w:rsidR="00BE4BE2" w:rsidRPr="003E4284">
        <w:rPr>
          <w:lang w:val="uk-UA"/>
        </w:rPr>
        <w:t>на електроустановки</w:t>
      </w:r>
      <w:r w:rsidRPr="003E4284">
        <w:rPr>
          <w:lang w:val="uk-UA"/>
        </w:rPr>
        <w:t>:</w:t>
      </w:r>
    </w:p>
    <w:p w14:paraId="2656E275" w14:textId="473A28F6" w:rsidR="005A7BD6" w:rsidRPr="003E4284" w:rsidRDefault="005A7BD6" w:rsidP="00467567">
      <w:pPr>
        <w:spacing w:after="0" w:line="240" w:lineRule="auto"/>
        <w:ind w:firstLine="709"/>
        <w:jc w:val="both"/>
        <w:rPr>
          <w:rFonts w:ascii="Times New Roman" w:hAnsi="Times New Roman" w:cs="Times New Roman"/>
          <w:sz w:val="24"/>
          <w:szCs w:val="24"/>
          <w:lang w:val="uk-UA"/>
        </w:rPr>
      </w:pPr>
      <w:r w:rsidRPr="003E4284">
        <w:rPr>
          <w:rFonts w:ascii="Times New Roman" w:hAnsi="Times New Roman" w:cs="Times New Roman"/>
          <w:sz w:val="24"/>
          <w:szCs w:val="24"/>
          <w:lang w:val="uk-UA"/>
        </w:rPr>
        <w:t>-</w:t>
      </w:r>
      <w:r w:rsidR="00BE4BE2" w:rsidRPr="003E4284">
        <w:rPr>
          <w:rFonts w:ascii="Times New Roman" w:hAnsi="Times New Roman" w:cs="Times New Roman"/>
          <w:sz w:val="24"/>
          <w:szCs w:val="24"/>
          <w:lang w:val="uk-UA"/>
        </w:rPr>
        <w:t xml:space="preserve"> внутрішнього електрозабезпечення електроустановок Замовника</w:t>
      </w:r>
      <w:r w:rsidRPr="003E4284">
        <w:rPr>
          <w:rFonts w:ascii="Times New Roman" w:hAnsi="Times New Roman" w:cs="Times New Roman"/>
          <w:sz w:val="24"/>
          <w:szCs w:val="24"/>
          <w:lang w:val="uk-UA"/>
        </w:rPr>
        <w:t>,</w:t>
      </w:r>
      <w:r w:rsidR="00BE4BE2" w:rsidRPr="003E4284">
        <w:rPr>
          <w:rFonts w:ascii="Times New Roman" w:hAnsi="Times New Roman" w:cs="Times New Roman"/>
          <w:sz w:val="24"/>
          <w:szCs w:val="24"/>
          <w:lang w:val="uk-UA"/>
        </w:rPr>
        <w:t xml:space="preserve"> (у межах земельної ділянки Замовника), від точки приєднання до об'єкта Замовника</w:t>
      </w:r>
      <w:r w:rsidR="00F15858" w:rsidRPr="003E4284">
        <w:rPr>
          <w:rFonts w:ascii="Times New Roman" w:hAnsi="Times New Roman" w:cs="Times New Roman"/>
          <w:sz w:val="24"/>
          <w:szCs w:val="24"/>
          <w:lang w:val="uk-UA"/>
        </w:rPr>
        <w:t xml:space="preserve"> </w:t>
      </w:r>
      <w:r w:rsidR="00F15858" w:rsidRPr="003E4284">
        <w:rPr>
          <w:rFonts w:ascii="Times New Roman" w:eastAsia="Times New Roman" w:hAnsi="Times New Roman" w:cs="Times New Roman"/>
          <w:color w:val="333333"/>
          <w:sz w:val="24"/>
          <w:szCs w:val="24"/>
          <w:lang w:val="uk-UA" w:eastAsia="ru-RU"/>
        </w:rPr>
        <w:t>на території цієї земельної ділянки</w:t>
      </w:r>
      <w:r w:rsidR="00BE4BE2" w:rsidRPr="003E4284">
        <w:rPr>
          <w:rFonts w:ascii="Times New Roman" w:hAnsi="Times New Roman" w:cs="Times New Roman"/>
          <w:sz w:val="24"/>
          <w:szCs w:val="24"/>
          <w:lang w:val="uk-UA"/>
        </w:rPr>
        <w:t xml:space="preserve">, </w:t>
      </w:r>
      <w:r w:rsidR="00F15858" w:rsidRPr="003E4284">
        <w:rPr>
          <w:rFonts w:ascii="Times New Roman" w:hAnsi="Times New Roman" w:cs="Times New Roman"/>
          <w:sz w:val="24"/>
          <w:szCs w:val="24"/>
          <w:lang w:val="uk-UA"/>
        </w:rPr>
        <w:t>щодо безпеки електропостачання</w:t>
      </w:r>
    </w:p>
    <w:p w14:paraId="5A6BF338" w14:textId="6E564FC6" w:rsidR="00BE4BE2" w:rsidRPr="003E4284" w:rsidRDefault="005A7BD6" w:rsidP="00467567">
      <w:pPr>
        <w:spacing w:after="0" w:line="240" w:lineRule="auto"/>
        <w:ind w:firstLine="709"/>
        <w:jc w:val="both"/>
        <w:rPr>
          <w:rFonts w:ascii="Times New Roman" w:hAnsi="Times New Roman" w:cs="Times New Roman"/>
          <w:sz w:val="24"/>
          <w:szCs w:val="24"/>
          <w:lang w:val="uk-UA"/>
        </w:rPr>
      </w:pPr>
      <w:r w:rsidRPr="003E4284">
        <w:rPr>
          <w:rFonts w:ascii="Times New Roman" w:hAnsi="Times New Roman" w:cs="Times New Roman"/>
          <w:sz w:val="24"/>
          <w:szCs w:val="24"/>
          <w:lang w:val="uk-UA"/>
        </w:rPr>
        <w:t xml:space="preserve">- </w:t>
      </w:r>
      <w:r w:rsidR="00B029AC" w:rsidRPr="003E4284">
        <w:rPr>
          <w:rFonts w:ascii="Times New Roman" w:hAnsi="Times New Roman" w:cs="Times New Roman"/>
          <w:sz w:val="24"/>
          <w:szCs w:val="24"/>
          <w:lang w:val="uk-UA"/>
        </w:rPr>
        <w:t>у</w:t>
      </w:r>
      <w:r w:rsidR="00BE4BE2" w:rsidRPr="003E4284">
        <w:rPr>
          <w:rFonts w:ascii="Times New Roman" w:hAnsi="Times New Roman" w:cs="Times New Roman"/>
          <w:sz w:val="24"/>
          <w:szCs w:val="24"/>
          <w:lang w:val="uk-UA"/>
        </w:rPr>
        <w:t>лаштування вузла комерційного обліку електричної енергії</w:t>
      </w:r>
      <w:r w:rsidR="00A84244" w:rsidRPr="003E4284">
        <w:rPr>
          <w:rFonts w:ascii="Times New Roman" w:hAnsi="Times New Roman" w:cs="Times New Roman"/>
          <w:sz w:val="24"/>
          <w:szCs w:val="24"/>
          <w:lang w:val="uk-UA"/>
        </w:rPr>
        <w:t>.</w:t>
      </w:r>
      <w:r w:rsidR="00F15858" w:rsidRPr="003E4284">
        <w:rPr>
          <w:rFonts w:ascii="Times New Roman" w:hAnsi="Times New Roman" w:cs="Times New Roman"/>
          <w:sz w:val="24"/>
          <w:szCs w:val="24"/>
          <w:lang w:val="uk-UA"/>
        </w:rPr>
        <w:t xml:space="preserve"> </w:t>
      </w:r>
    </w:p>
    <w:p w14:paraId="6CB5C136" w14:textId="1453826A" w:rsidR="00A84244" w:rsidRPr="003E4284" w:rsidRDefault="00BE4BE2" w:rsidP="00A84244">
      <w:pPr>
        <w:pStyle w:val="a3"/>
        <w:numPr>
          <w:ilvl w:val="1"/>
          <w:numId w:val="8"/>
        </w:numPr>
        <w:spacing w:before="120" w:beforeAutospacing="0" w:after="0" w:afterAutospacing="0"/>
        <w:ind w:left="0" w:firstLine="709"/>
        <w:jc w:val="both"/>
        <w:rPr>
          <w:lang w:val="uk-UA"/>
        </w:rPr>
      </w:pPr>
      <w:r w:rsidRPr="003E4284">
        <w:rPr>
          <w:lang w:val="uk-UA"/>
        </w:rPr>
        <w:t xml:space="preserve">У разі нестандартного приєднання з </w:t>
      </w:r>
      <w:r w:rsidR="002F2DA0" w:rsidRPr="003E4284">
        <w:rPr>
          <w:rFonts w:eastAsia="Times New Roman"/>
          <w:color w:val="333333"/>
          <w:lang w:val="uk-UA"/>
        </w:rPr>
        <w:t>проєктуванням замовником</w:t>
      </w:r>
      <w:r w:rsidRPr="003E4284">
        <w:rPr>
          <w:lang w:val="uk-UA"/>
        </w:rPr>
        <w:t xml:space="preserve"> лінійної частини приєднання</w:t>
      </w:r>
      <w:r w:rsidR="00A84244" w:rsidRPr="003E4284">
        <w:rPr>
          <w:lang w:val="uk-UA"/>
        </w:rPr>
        <w:t>,</w:t>
      </w:r>
      <w:r w:rsidRPr="003E4284">
        <w:rPr>
          <w:lang w:val="uk-UA"/>
        </w:rPr>
        <w:t xml:space="preserve"> </w:t>
      </w:r>
      <w:r w:rsidR="00A84244" w:rsidRPr="003E4284">
        <w:rPr>
          <w:lang w:val="uk-UA"/>
        </w:rPr>
        <w:t xml:space="preserve">розроблення </w:t>
      </w:r>
      <w:r w:rsidR="002F2DA0" w:rsidRPr="003E4284">
        <w:rPr>
          <w:lang w:val="uk-UA"/>
        </w:rPr>
        <w:t xml:space="preserve">та </w:t>
      </w:r>
      <w:r w:rsidR="002F2DA0" w:rsidRPr="003E4284">
        <w:rPr>
          <w:rFonts w:eastAsia="Times New Roman"/>
          <w:color w:val="333333"/>
          <w:lang w:val="uk-UA"/>
        </w:rPr>
        <w:t>узгодження з ОСР та іншими заінтересованими сторонами</w:t>
      </w:r>
      <w:r w:rsidR="002F2DA0" w:rsidRPr="003E4284">
        <w:rPr>
          <w:lang w:val="uk-UA"/>
        </w:rPr>
        <w:t xml:space="preserve"> </w:t>
      </w:r>
      <w:r w:rsidR="00A84244" w:rsidRPr="003E4284">
        <w:rPr>
          <w:lang w:val="uk-UA"/>
        </w:rPr>
        <w:t>ПКД здійснюється</w:t>
      </w:r>
      <w:r w:rsidR="00F15858" w:rsidRPr="003E4284">
        <w:rPr>
          <w:lang w:val="uk-UA"/>
        </w:rPr>
        <w:t xml:space="preserve"> </w:t>
      </w:r>
      <w:r w:rsidR="00A84244" w:rsidRPr="003E4284">
        <w:rPr>
          <w:b/>
          <w:bCs/>
          <w:lang w:val="uk-UA"/>
        </w:rPr>
        <w:t>Замовником</w:t>
      </w:r>
      <w:r w:rsidR="00A84244" w:rsidRPr="003E4284">
        <w:rPr>
          <w:lang w:val="uk-UA"/>
        </w:rPr>
        <w:t>, на електроустановки:</w:t>
      </w:r>
    </w:p>
    <w:p w14:paraId="64A8AE04" w14:textId="7CDDCBFB" w:rsidR="00F15858" w:rsidRPr="003E4284" w:rsidRDefault="002F2DA0" w:rsidP="002F2DA0">
      <w:pPr>
        <w:pStyle w:val="a3"/>
        <w:spacing w:before="0" w:beforeAutospacing="0" w:after="0" w:afterAutospacing="0"/>
        <w:ind w:firstLine="708"/>
        <w:jc w:val="both"/>
        <w:rPr>
          <w:lang w:val="uk-UA"/>
        </w:rPr>
      </w:pPr>
      <w:r w:rsidRPr="003E4284">
        <w:rPr>
          <w:lang w:val="uk-UA"/>
        </w:rPr>
        <w:t xml:space="preserve">- </w:t>
      </w:r>
      <w:r w:rsidR="00BE4BE2" w:rsidRPr="003E4284">
        <w:rPr>
          <w:lang w:val="uk-UA"/>
        </w:rPr>
        <w:t>будівництва  електричних мереж лінійної частини приєднання</w:t>
      </w:r>
      <w:r w:rsidR="00F15858"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00F15858" w:rsidRPr="003E4284">
        <w:rPr>
          <w:lang w:val="uk-UA"/>
        </w:rPr>
        <w:t>;</w:t>
      </w:r>
    </w:p>
    <w:p w14:paraId="4327205B" w14:textId="26156A50" w:rsidR="00F15858" w:rsidRPr="003E4284" w:rsidRDefault="00F15858" w:rsidP="002F2DA0">
      <w:pPr>
        <w:pStyle w:val="a3"/>
        <w:spacing w:before="0" w:beforeAutospacing="0" w:after="0" w:afterAutospacing="0"/>
        <w:ind w:firstLine="708"/>
        <w:jc w:val="both"/>
        <w:rPr>
          <w:lang w:val="uk-UA"/>
        </w:rPr>
      </w:pPr>
      <w:r w:rsidRPr="003E4284">
        <w:rPr>
          <w:lang w:val="uk-UA"/>
        </w:rPr>
        <w:t>-</w:t>
      </w:r>
      <w:r w:rsidR="00BE4BE2" w:rsidRPr="003E4284">
        <w:rPr>
          <w:lang w:val="uk-UA"/>
        </w:rPr>
        <w:t xml:space="preserve"> </w:t>
      </w:r>
      <w:r w:rsidRPr="003E4284">
        <w:rPr>
          <w:lang w:val="uk-UA"/>
        </w:rPr>
        <w:t xml:space="preserve">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щодо безпеки електропостачання;</w:t>
      </w:r>
    </w:p>
    <w:p w14:paraId="6662C044" w14:textId="43BE9E66" w:rsidR="00F15858" w:rsidRPr="003E4284" w:rsidRDefault="00F15858" w:rsidP="002F2DA0">
      <w:pPr>
        <w:pStyle w:val="a3"/>
        <w:spacing w:before="0" w:beforeAutospacing="0" w:after="0" w:afterAutospacing="0"/>
        <w:ind w:firstLine="708"/>
        <w:jc w:val="both"/>
        <w:rPr>
          <w:lang w:val="uk-UA"/>
        </w:rPr>
      </w:pPr>
      <w:r w:rsidRPr="003E4284">
        <w:rPr>
          <w:lang w:val="uk-UA"/>
        </w:rPr>
        <w:t xml:space="preserve">- </w:t>
      </w:r>
      <w:r w:rsidR="00B029AC" w:rsidRPr="003E4284">
        <w:rPr>
          <w:lang w:val="uk-UA"/>
        </w:rPr>
        <w:t>у</w:t>
      </w:r>
      <w:r w:rsidR="00B05D90" w:rsidRPr="003E4284">
        <w:rPr>
          <w:lang w:val="uk-UA"/>
        </w:rPr>
        <w:t>лаштування вузла комерційного обліку електричної енергії</w:t>
      </w:r>
      <w:r w:rsidRPr="003E4284">
        <w:rPr>
          <w:lang w:val="uk-UA"/>
        </w:rPr>
        <w:t>.</w:t>
      </w:r>
      <w:r w:rsidR="00BE4BE2" w:rsidRPr="003E4284">
        <w:rPr>
          <w:lang w:val="uk-UA"/>
        </w:rPr>
        <w:t xml:space="preserve"> </w:t>
      </w:r>
    </w:p>
    <w:p w14:paraId="174974E0" w14:textId="77777777" w:rsidR="00F15858" w:rsidRPr="003E4284" w:rsidRDefault="00BE4BE2" w:rsidP="00F15858">
      <w:pPr>
        <w:pStyle w:val="a3"/>
        <w:spacing w:before="0" w:beforeAutospacing="0" w:after="0" w:afterAutospacing="0"/>
        <w:ind w:firstLine="708"/>
        <w:jc w:val="both"/>
        <w:rPr>
          <w:lang w:val="uk-UA"/>
        </w:rPr>
      </w:pPr>
      <w:r w:rsidRPr="003E4284">
        <w:rPr>
          <w:lang w:val="uk-UA"/>
        </w:rPr>
        <w:t>Проєктування лінійної частини приєднання вилучається з обсягу робіт, що виконуються Виконавцем послуг</w:t>
      </w:r>
      <w:r w:rsidR="0096752C" w:rsidRPr="003E4284">
        <w:rPr>
          <w:lang w:val="uk-UA"/>
        </w:rPr>
        <w:t>.</w:t>
      </w:r>
    </w:p>
    <w:p w14:paraId="6600E7E0" w14:textId="611BC126" w:rsidR="00BE4BE2" w:rsidRPr="003E4284" w:rsidRDefault="00F15858" w:rsidP="00F15858">
      <w:pPr>
        <w:pStyle w:val="a3"/>
        <w:spacing w:before="0" w:beforeAutospacing="0" w:after="0" w:afterAutospacing="0"/>
        <w:ind w:firstLine="708"/>
        <w:jc w:val="both"/>
        <w:rPr>
          <w:lang w:val="uk-UA"/>
        </w:rPr>
      </w:pPr>
      <w:r w:rsidRPr="003E4284">
        <w:rPr>
          <w:lang w:val="uk-UA"/>
        </w:rPr>
        <w:t xml:space="preserve">1.2.1 </w:t>
      </w:r>
      <w:r w:rsidR="00BE4BE2" w:rsidRPr="003E4284">
        <w:rPr>
          <w:u w:val="single"/>
          <w:lang w:val="uk-UA"/>
        </w:rPr>
        <w:t>При цьому</w:t>
      </w:r>
      <w:r w:rsidR="00467567" w:rsidRPr="003E4284">
        <w:rPr>
          <w:u w:val="single"/>
          <w:lang w:val="uk-UA"/>
        </w:rPr>
        <w:t xml:space="preserve">, </w:t>
      </w:r>
      <w:r w:rsidR="00BE4BE2" w:rsidRPr="003E4284">
        <w:rPr>
          <w:u w:val="single"/>
          <w:lang w:val="uk-UA"/>
        </w:rPr>
        <w:t>Замовник:</w:t>
      </w:r>
    </w:p>
    <w:p w14:paraId="21AA9B99" w14:textId="4802D74C" w:rsidR="00E73BC3" w:rsidRPr="003E4284" w:rsidRDefault="00BE4BE2" w:rsidP="00467567">
      <w:pPr>
        <w:pStyle w:val="a3"/>
        <w:numPr>
          <w:ilvl w:val="0"/>
          <w:numId w:val="2"/>
        </w:numPr>
        <w:spacing w:before="0" w:beforeAutospacing="0" w:after="0" w:afterAutospacing="0"/>
        <w:ind w:left="0" w:firstLine="709"/>
        <w:jc w:val="both"/>
        <w:rPr>
          <w:lang w:val="uk-UA"/>
        </w:rPr>
      </w:pPr>
      <w:r w:rsidRPr="003E4284">
        <w:rPr>
          <w:lang w:val="uk-UA"/>
        </w:rPr>
        <w:t xml:space="preserve">Перед початком </w:t>
      </w:r>
      <w:r w:rsidR="00B05D90" w:rsidRPr="003E4284">
        <w:rPr>
          <w:lang w:val="uk-UA"/>
        </w:rPr>
        <w:t xml:space="preserve">проектних робіт з </w:t>
      </w:r>
      <w:r w:rsidRPr="003E4284">
        <w:rPr>
          <w:lang w:val="uk-UA"/>
        </w:rPr>
        <w:t xml:space="preserve">розробки ПКД на </w:t>
      </w:r>
      <w:r w:rsidR="00B05D90" w:rsidRPr="003E4284">
        <w:rPr>
          <w:lang w:val="uk-UA"/>
        </w:rPr>
        <w:t>будівництво  електричних мереж лінійної частини приєднання</w:t>
      </w:r>
      <w:r w:rsidRPr="003E4284">
        <w:rPr>
          <w:lang w:val="uk-UA"/>
        </w:rPr>
        <w:t xml:space="preserve">, </w:t>
      </w:r>
      <w:r w:rsidR="00B05D90" w:rsidRPr="003E4284">
        <w:rPr>
          <w:lang w:val="uk-UA"/>
        </w:rPr>
        <w:t xml:space="preserve">розробляє із залученням проектної організації та </w:t>
      </w:r>
      <w:r w:rsidRPr="003E4284">
        <w:rPr>
          <w:lang w:val="uk-UA"/>
        </w:rPr>
        <w:t xml:space="preserve">надає на погодження ОСР </w:t>
      </w:r>
      <w:r w:rsidR="00B05D90" w:rsidRPr="003E4284">
        <w:rPr>
          <w:lang w:val="uk-UA"/>
        </w:rPr>
        <w:t xml:space="preserve">- </w:t>
      </w:r>
      <w:r w:rsidRPr="003E4284">
        <w:rPr>
          <w:lang w:val="uk-UA"/>
        </w:rPr>
        <w:t>Завдання на проектування</w:t>
      </w:r>
      <w:r w:rsidR="00B05D90" w:rsidRPr="003E4284">
        <w:rPr>
          <w:lang w:val="uk-UA"/>
        </w:rPr>
        <w:t xml:space="preserve"> будівництва  електричних мереж лінійної частини приєднання</w:t>
      </w:r>
      <w:r w:rsidRPr="003E4284">
        <w:rPr>
          <w:lang w:val="uk-UA"/>
        </w:rPr>
        <w:t>.</w:t>
      </w:r>
    </w:p>
    <w:p w14:paraId="0B3335EA" w14:textId="16316024" w:rsidR="00F15858" w:rsidRPr="003E4284" w:rsidRDefault="00B05D90" w:rsidP="00467567">
      <w:pPr>
        <w:pStyle w:val="a3"/>
        <w:numPr>
          <w:ilvl w:val="0"/>
          <w:numId w:val="2"/>
        </w:numPr>
        <w:spacing w:before="0" w:beforeAutospacing="0" w:after="0" w:afterAutospacing="0"/>
        <w:ind w:left="0" w:firstLine="709"/>
        <w:jc w:val="both"/>
        <w:rPr>
          <w:lang w:val="uk-UA"/>
        </w:rPr>
      </w:pPr>
      <w:r w:rsidRPr="003E4284">
        <w:rPr>
          <w:lang w:val="uk-UA"/>
        </w:rPr>
        <w:t>Р</w:t>
      </w:r>
      <w:r w:rsidR="00BE4BE2" w:rsidRPr="003E4284">
        <w:rPr>
          <w:lang w:val="uk-UA"/>
        </w:rPr>
        <w:t xml:space="preserve">озробляє </w:t>
      </w:r>
      <w:r w:rsidRPr="003E4284">
        <w:rPr>
          <w:lang w:val="uk-UA"/>
        </w:rPr>
        <w:t xml:space="preserve">ПКД </w:t>
      </w:r>
      <w:r w:rsidR="00BE4BE2" w:rsidRPr="003E4284">
        <w:rPr>
          <w:lang w:val="uk-UA"/>
        </w:rPr>
        <w:t>окремими частинами (томами)</w:t>
      </w:r>
      <w:r w:rsidR="00F15858" w:rsidRPr="003E4284">
        <w:rPr>
          <w:lang w:val="uk-UA"/>
        </w:rPr>
        <w:t xml:space="preserve"> для:</w:t>
      </w:r>
    </w:p>
    <w:p w14:paraId="0EFBF2F8" w14:textId="77777777" w:rsidR="00F15858" w:rsidRPr="003E4284" w:rsidRDefault="00F15858" w:rsidP="00F15858">
      <w:pPr>
        <w:pStyle w:val="a3"/>
        <w:spacing w:before="0" w:beforeAutospacing="0" w:after="0" w:afterAutospacing="0"/>
        <w:jc w:val="both"/>
        <w:rPr>
          <w:lang w:val="uk-UA"/>
        </w:rPr>
      </w:pPr>
      <w:r w:rsidRPr="003E4284">
        <w:rPr>
          <w:lang w:val="uk-UA"/>
        </w:rPr>
        <w:t>- будівництва  електричних мереж лінійної частини приєднання</w:t>
      </w:r>
      <w:r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Pr="003E4284">
        <w:rPr>
          <w:lang w:val="uk-UA"/>
        </w:rPr>
        <w:t>;</w:t>
      </w:r>
    </w:p>
    <w:p w14:paraId="3F2EE638" w14:textId="77777777" w:rsidR="003E4284" w:rsidRDefault="00F15858" w:rsidP="003E4284">
      <w:pPr>
        <w:pStyle w:val="a3"/>
        <w:spacing w:before="0" w:beforeAutospacing="0" w:after="0" w:afterAutospacing="0"/>
        <w:jc w:val="both"/>
        <w:rPr>
          <w:lang w:val="uk-UA"/>
        </w:rPr>
      </w:pPr>
      <w:r w:rsidRPr="003E4284">
        <w:rPr>
          <w:lang w:val="uk-UA"/>
        </w:rPr>
        <w:t xml:space="preserve">- 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щодо безпеки електропостачання</w:t>
      </w:r>
      <w:r w:rsidR="00B05D90" w:rsidRPr="003E4284">
        <w:rPr>
          <w:lang w:val="uk-UA"/>
        </w:rPr>
        <w:t xml:space="preserve"> включаючи </w:t>
      </w:r>
      <w:r w:rsidR="00B029AC" w:rsidRPr="003E4284">
        <w:rPr>
          <w:lang w:val="uk-UA"/>
        </w:rPr>
        <w:t>у</w:t>
      </w:r>
      <w:r w:rsidR="00B05D90" w:rsidRPr="003E4284">
        <w:rPr>
          <w:lang w:val="uk-UA"/>
        </w:rPr>
        <w:t>лаштування вузла комерційного обліку електричної енергії</w:t>
      </w:r>
      <w:r w:rsidR="001E33F8" w:rsidRPr="003E4284">
        <w:rPr>
          <w:lang w:val="uk-UA"/>
        </w:rPr>
        <w:t>.</w:t>
      </w:r>
    </w:p>
    <w:p w14:paraId="6F182ECD" w14:textId="16A7D1F8" w:rsidR="00BE4BE2" w:rsidRPr="00414584" w:rsidRDefault="00BE4BE2" w:rsidP="003E4284">
      <w:pPr>
        <w:pStyle w:val="a3"/>
        <w:spacing w:before="0" w:beforeAutospacing="0" w:after="0" w:afterAutospacing="0"/>
        <w:ind w:firstLine="708"/>
        <w:jc w:val="both"/>
        <w:rPr>
          <w:lang w:val="uk-UA"/>
        </w:rPr>
      </w:pPr>
      <w:r w:rsidRPr="00414584">
        <w:rPr>
          <w:lang w:val="uk-UA"/>
        </w:rPr>
        <w:t xml:space="preserve">Забезпечує </w:t>
      </w:r>
      <w:r w:rsidR="00F15858">
        <w:rPr>
          <w:lang w:val="uk-UA"/>
        </w:rPr>
        <w:t xml:space="preserve"> </w:t>
      </w:r>
      <w:r w:rsidRPr="00414584">
        <w:rPr>
          <w:lang w:val="uk-UA"/>
        </w:rPr>
        <w:t>узгодження з ОСР та іншими заінтересованими сторонами проєктної документації на будівництво електричних мереж лінійної частини приєднання, внутрішнього електрозабезпечення електроустановок Замовника, влаштування вузла комерційного обліку електричної енергії.</w:t>
      </w:r>
      <w:r w:rsidR="00B05D90">
        <w:rPr>
          <w:lang w:val="uk-UA"/>
        </w:rPr>
        <w:t xml:space="preserve"> </w:t>
      </w:r>
    </w:p>
    <w:p w14:paraId="7DCBC748" w14:textId="0542C4FE" w:rsidR="00BE4BE2" w:rsidRPr="003E4284" w:rsidRDefault="00BE4BE2" w:rsidP="00467567">
      <w:pPr>
        <w:pStyle w:val="a3"/>
        <w:numPr>
          <w:ilvl w:val="0"/>
          <w:numId w:val="2"/>
        </w:numPr>
        <w:spacing w:before="0" w:beforeAutospacing="0" w:after="0" w:afterAutospacing="0"/>
        <w:ind w:left="0" w:firstLine="709"/>
        <w:jc w:val="both"/>
        <w:rPr>
          <w:lang w:val="uk-UA"/>
        </w:rPr>
      </w:pPr>
      <w:r w:rsidRPr="00414584">
        <w:rPr>
          <w:lang w:val="uk-UA"/>
        </w:rPr>
        <w:t xml:space="preserve">Здійснює заходи щодо </w:t>
      </w:r>
      <w:r w:rsidR="001E33F8" w:rsidRPr="003E4284">
        <w:rPr>
          <w:rFonts w:eastAsia="Times New Roman"/>
          <w:color w:val="333333"/>
          <w:lang w:val="uk-UA"/>
        </w:rPr>
        <w:t xml:space="preserve">відведення на користь ОСР земельних ділянок для </w:t>
      </w:r>
      <w:r w:rsidRPr="003E4284">
        <w:rPr>
          <w:lang w:val="uk-UA"/>
        </w:rPr>
        <w:t xml:space="preserve">розміщення відповідних об'єктів електроенергетики. </w:t>
      </w:r>
    </w:p>
    <w:p w14:paraId="5760B027" w14:textId="3A8E1329" w:rsidR="001E33F8" w:rsidRPr="003E4284" w:rsidRDefault="001E33F8" w:rsidP="00467567">
      <w:pPr>
        <w:pStyle w:val="a3"/>
        <w:numPr>
          <w:ilvl w:val="0"/>
          <w:numId w:val="2"/>
        </w:numPr>
        <w:spacing w:before="0" w:beforeAutospacing="0" w:after="0" w:afterAutospacing="0"/>
        <w:ind w:left="0" w:firstLine="709"/>
        <w:jc w:val="both"/>
        <w:rPr>
          <w:lang w:val="uk-UA"/>
        </w:rPr>
      </w:pPr>
      <w:r w:rsidRPr="003E4284">
        <w:rPr>
          <w:lang w:val="uk-UA"/>
        </w:rPr>
        <w:t>Здійснює заходи щодо отримання на користь ОСР містобудівних умов та обмежень</w:t>
      </w:r>
      <w:r w:rsidRPr="003E4284">
        <w:rPr>
          <w:rFonts w:eastAsia="Times New Roman"/>
          <w:lang w:val="uk-UA"/>
        </w:rPr>
        <w:t xml:space="preserve"> забудови земельної ділянки</w:t>
      </w:r>
      <w:r w:rsidRPr="003E4284">
        <w:rPr>
          <w:rFonts w:eastAsia="Times New Roman"/>
          <w:color w:val="333333"/>
          <w:lang w:val="uk-UA"/>
        </w:rPr>
        <w:t xml:space="preserve"> для </w:t>
      </w:r>
      <w:r w:rsidRPr="003E4284">
        <w:rPr>
          <w:lang w:val="uk-UA"/>
        </w:rPr>
        <w:t>розміщення відповідних об'єктів електроенергетики.</w:t>
      </w:r>
    </w:p>
    <w:p w14:paraId="2DA9F5E1" w14:textId="00BE5E89" w:rsidR="002E4E72" w:rsidRPr="003E4284" w:rsidRDefault="002E4E72" w:rsidP="00467567">
      <w:pPr>
        <w:pStyle w:val="a3"/>
        <w:numPr>
          <w:ilvl w:val="0"/>
          <w:numId w:val="2"/>
        </w:numPr>
        <w:spacing w:before="0" w:beforeAutospacing="0" w:after="0" w:afterAutospacing="0"/>
        <w:ind w:left="0" w:firstLine="709"/>
        <w:jc w:val="both"/>
        <w:rPr>
          <w:lang w:val="uk-UA"/>
        </w:rPr>
      </w:pPr>
      <w:r w:rsidRPr="003E4284">
        <w:rPr>
          <w:lang w:val="uk-UA"/>
        </w:rPr>
        <w:t xml:space="preserve">У разі наявності </w:t>
      </w:r>
      <w:r w:rsidR="0096752C" w:rsidRPr="003E4284">
        <w:rPr>
          <w:lang w:val="uk-UA"/>
        </w:rPr>
        <w:t>обґрунтованих</w:t>
      </w:r>
      <w:r w:rsidRPr="003E4284">
        <w:rPr>
          <w:lang w:val="uk-UA"/>
        </w:rPr>
        <w:t xml:space="preserve"> зауважень з боку ОСР, здійснює доопрацювання ПКД у термін 30 робочих днів з дня отримання замовником зауважень до неї. Замовник може продовжити строк доопрацювання проєктно-кошторисної документації шляхом письмового </w:t>
      </w:r>
      <w:r w:rsidRPr="003E4284">
        <w:rPr>
          <w:lang w:val="uk-UA"/>
        </w:rPr>
        <w:lastRenderedPageBreak/>
        <w:t>повідомлення ОСР, направленого не пізніше ніж за 2 робочі дні до закінчення строку доопрацювання</w:t>
      </w:r>
      <w:r w:rsidR="001E33F8" w:rsidRPr="003E4284">
        <w:rPr>
          <w:lang w:val="uk-UA"/>
        </w:rPr>
        <w:t>.</w:t>
      </w:r>
    </w:p>
    <w:p w14:paraId="223D685E" w14:textId="75FCBA0B" w:rsidR="001E33F8" w:rsidRPr="003E4284" w:rsidRDefault="001E33F8" w:rsidP="00467567">
      <w:pPr>
        <w:pStyle w:val="a3"/>
        <w:numPr>
          <w:ilvl w:val="0"/>
          <w:numId w:val="2"/>
        </w:numPr>
        <w:spacing w:before="0" w:beforeAutospacing="0" w:after="0" w:afterAutospacing="0"/>
        <w:ind w:left="0" w:firstLine="709"/>
        <w:jc w:val="both"/>
        <w:rPr>
          <w:lang w:val="uk-UA"/>
        </w:rPr>
      </w:pPr>
      <w:r w:rsidRPr="003E4284">
        <w:rPr>
          <w:rFonts w:eastAsia="Times New Roman"/>
          <w:lang w:val="uk-UA"/>
        </w:rPr>
        <w:t xml:space="preserve">За потреби </w:t>
      </w:r>
      <w:r w:rsidR="00246154" w:rsidRPr="003E4284">
        <w:rPr>
          <w:rFonts w:eastAsia="Times New Roman"/>
          <w:lang w:val="uk-UA"/>
        </w:rPr>
        <w:t>(у випадках передбачених діючим законодавством) з</w:t>
      </w:r>
      <w:r w:rsidRPr="003E4284">
        <w:rPr>
          <w:rFonts w:eastAsia="Times New Roman"/>
          <w:lang w:val="uk-UA"/>
        </w:rPr>
        <w:t>дійснюють експертизу проектної документації на будівництво об’єктів</w:t>
      </w:r>
      <w:r w:rsidR="00246154" w:rsidRPr="003E4284">
        <w:rPr>
          <w:rFonts w:eastAsia="Times New Roman"/>
          <w:lang w:val="uk-UA"/>
        </w:rPr>
        <w:t>.</w:t>
      </w:r>
    </w:p>
    <w:p w14:paraId="07B211B7" w14:textId="61007339" w:rsidR="00BE4BE2" w:rsidRPr="003E4284" w:rsidRDefault="00BE4BE2" w:rsidP="00A84244">
      <w:pPr>
        <w:pStyle w:val="a3"/>
        <w:numPr>
          <w:ilvl w:val="2"/>
          <w:numId w:val="1"/>
        </w:numPr>
        <w:spacing w:before="0" w:beforeAutospacing="0" w:after="0" w:afterAutospacing="0"/>
        <w:ind w:left="0" w:firstLine="709"/>
        <w:jc w:val="both"/>
        <w:rPr>
          <w:u w:val="single"/>
          <w:lang w:val="uk-UA"/>
        </w:rPr>
      </w:pPr>
      <w:r w:rsidRPr="003E4284">
        <w:rPr>
          <w:u w:val="single"/>
          <w:lang w:val="uk-UA"/>
        </w:rPr>
        <w:t>ОСР:</w:t>
      </w:r>
    </w:p>
    <w:p w14:paraId="2E3C369C" w14:textId="51CF45A3" w:rsidR="00BE4BE2" w:rsidRPr="003E4284" w:rsidRDefault="00BE4BE2" w:rsidP="00467567">
      <w:pPr>
        <w:pStyle w:val="a3"/>
        <w:numPr>
          <w:ilvl w:val="0"/>
          <w:numId w:val="2"/>
        </w:numPr>
        <w:spacing w:before="0" w:beforeAutospacing="0" w:after="0" w:afterAutospacing="0"/>
        <w:ind w:left="0" w:firstLine="709"/>
        <w:jc w:val="both"/>
        <w:rPr>
          <w:lang w:val="uk-UA"/>
        </w:rPr>
      </w:pPr>
      <w:r w:rsidRPr="003E4284">
        <w:rPr>
          <w:lang w:val="uk-UA"/>
        </w:rPr>
        <w:t xml:space="preserve">На </w:t>
      </w:r>
      <w:r w:rsidR="005256E5" w:rsidRPr="003E4284">
        <w:rPr>
          <w:lang w:val="uk-UA"/>
        </w:rPr>
        <w:t xml:space="preserve">письмовий </w:t>
      </w:r>
      <w:r w:rsidRPr="003E4284">
        <w:rPr>
          <w:lang w:val="uk-UA"/>
        </w:rPr>
        <w:t xml:space="preserve">запит замовника або проектної організації замовника (за наявності доручення від Замовника), готує </w:t>
      </w:r>
      <w:r w:rsidR="005256E5" w:rsidRPr="003E4284">
        <w:rPr>
          <w:lang w:val="uk-UA"/>
        </w:rPr>
        <w:t xml:space="preserve">та надає заявнику </w:t>
      </w:r>
      <w:r w:rsidRPr="003E4284">
        <w:rPr>
          <w:strike/>
          <w:lang w:val="uk-UA"/>
        </w:rPr>
        <w:t>всі</w:t>
      </w:r>
      <w:r w:rsidRPr="003E4284">
        <w:rPr>
          <w:lang w:val="uk-UA"/>
        </w:rPr>
        <w:t xml:space="preserve"> </w:t>
      </w:r>
      <w:r w:rsidR="005256E5" w:rsidRPr="003E4284">
        <w:rPr>
          <w:lang w:val="uk-UA"/>
        </w:rPr>
        <w:t xml:space="preserve">наявні та </w:t>
      </w:r>
      <w:r w:rsidRPr="003E4284">
        <w:rPr>
          <w:lang w:val="uk-UA"/>
        </w:rPr>
        <w:t xml:space="preserve">необхідні для проєктування </w:t>
      </w:r>
      <w:r w:rsidR="005256E5" w:rsidRPr="003E4284">
        <w:rPr>
          <w:lang w:val="uk-UA"/>
        </w:rPr>
        <w:t xml:space="preserve">вихідні </w:t>
      </w:r>
      <w:r w:rsidRPr="003E4284">
        <w:rPr>
          <w:lang w:val="uk-UA"/>
        </w:rPr>
        <w:t>дані.</w:t>
      </w:r>
      <w:r w:rsidR="00B029AC" w:rsidRPr="003E4284">
        <w:rPr>
          <w:lang w:val="uk-UA"/>
        </w:rPr>
        <w:t xml:space="preserve"> У разі відсутності у ОСР необхідних для проєктування вихідних даних за окремим письмовим запитом</w:t>
      </w:r>
      <w:r w:rsidR="007A17CD" w:rsidRPr="003E4284">
        <w:rPr>
          <w:lang w:val="uk-UA"/>
        </w:rPr>
        <w:t xml:space="preserve"> Замовника</w:t>
      </w:r>
      <w:r w:rsidR="00B029AC" w:rsidRPr="003E4284">
        <w:rPr>
          <w:lang w:val="uk-UA"/>
        </w:rPr>
        <w:t>,</w:t>
      </w:r>
      <w:r w:rsidR="007A17CD" w:rsidRPr="003E4284">
        <w:rPr>
          <w:lang w:val="uk-UA"/>
        </w:rPr>
        <w:t xml:space="preserve"> ОСР організовує допуск до власних електроустановок</w:t>
      </w:r>
      <w:r w:rsidR="00B029AC" w:rsidRPr="003E4284">
        <w:rPr>
          <w:lang w:val="uk-UA"/>
        </w:rPr>
        <w:t xml:space="preserve"> Замовник</w:t>
      </w:r>
      <w:r w:rsidR="007A17CD" w:rsidRPr="003E4284">
        <w:rPr>
          <w:lang w:val="uk-UA"/>
        </w:rPr>
        <w:t xml:space="preserve">а </w:t>
      </w:r>
      <w:r w:rsidR="002B4C83" w:rsidRPr="003E4284">
        <w:rPr>
          <w:lang w:val="uk-UA"/>
        </w:rPr>
        <w:t xml:space="preserve">або проектної організації замовника (за наявності доручення від Замовника) </w:t>
      </w:r>
      <w:r w:rsidR="007A17CD" w:rsidRPr="003E4284">
        <w:rPr>
          <w:lang w:val="uk-UA"/>
        </w:rPr>
        <w:t>для</w:t>
      </w:r>
      <w:r w:rsidR="00B029AC" w:rsidRPr="003E4284">
        <w:rPr>
          <w:lang w:val="uk-UA"/>
        </w:rPr>
        <w:t xml:space="preserve"> зб</w:t>
      </w:r>
      <w:r w:rsidR="007A17CD" w:rsidRPr="003E4284">
        <w:rPr>
          <w:lang w:val="uk-UA"/>
        </w:rPr>
        <w:t>о</w:t>
      </w:r>
      <w:r w:rsidR="00B029AC" w:rsidRPr="003E4284">
        <w:rPr>
          <w:lang w:val="uk-UA"/>
        </w:rPr>
        <w:t>р</w:t>
      </w:r>
      <w:r w:rsidR="007A17CD" w:rsidRPr="003E4284">
        <w:rPr>
          <w:lang w:val="uk-UA"/>
        </w:rPr>
        <w:t>у</w:t>
      </w:r>
      <w:r w:rsidR="00B029AC" w:rsidRPr="003E4284">
        <w:rPr>
          <w:lang w:val="uk-UA"/>
        </w:rPr>
        <w:t xml:space="preserve"> необхідних для проектування вихідних даних, шляхом натурного обстеження об’єкту проектування.</w:t>
      </w:r>
    </w:p>
    <w:p w14:paraId="00682D3A" w14:textId="3217FB0F" w:rsidR="005256E5" w:rsidRPr="003E4284" w:rsidRDefault="00573484" w:rsidP="00467567">
      <w:pPr>
        <w:pStyle w:val="a3"/>
        <w:numPr>
          <w:ilvl w:val="0"/>
          <w:numId w:val="2"/>
        </w:numPr>
        <w:spacing w:before="0" w:beforeAutospacing="0" w:after="0" w:afterAutospacing="0"/>
        <w:ind w:left="0" w:firstLine="709"/>
        <w:jc w:val="both"/>
        <w:rPr>
          <w:lang w:val="uk-UA"/>
        </w:rPr>
      </w:pPr>
      <w:r w:rsidRPr="003E4284">
        <w:rPr>
          <w:lang w:val="uk-UA"/>
        </w:rPr>
        <w:t>Безоплатно р</w:t>
      </w:r>
      <w:r w:rsidR="002E4E72" w:rsidRPr="003E4284">
        <w:rPr>
          <w:lang w:val="uk-UA"/>
        </w:rPr>
        <w:t>озглядає</w:t>
      </w:r>
      <w:r w:rsidR="00BE4BE2" w:rsidRPr="003E4284">
        <w:rPr>
          <w:lang w:val="uk-UA"/>
        </w:rPr>
        <w:t xml:space="preserve"> та погодж</w:t>
      </w:r>
      <w:r w:rsidR="002E4E72" w:rsidRPr="003E4284">
        <w:rPr>
          <w:lang w:val="uk-UA"/>
        </w:rPr>
        <w:t>ує</w:t>
      </w:r>
      <w:r w:rsidR="00BE4BE2" w:rsidRPr="003E4284">
        <w:rPr>
          <w:lang w:val="uk-UA"/>
        </w:rPr>
        <w:t xml:space="preserve"> </w:t>
      </w:r>
      <w:r w:rsidR="005256E5" w:rsidRPr="003E4284">
        <w:rPr>
          <w:lang w:val="uk-UA"/>
        </w:rPr>
        <w:t xml:space="preserve">наступні різновиди </w:t>
      </w:r>
      <w:r w:rsidR="00B05D90" w:rsidRPr="003E4284">
        <w:rPr>
          <w:lang w:val="uk-UA"/>
        </w:rPr>
        <w:t>ПКД</w:t>
      </w:r>
      <w:r w:rsidR="005256E5" w:rsidRPr="003E4284">
        <w:rPr>
          <w:lang w:val="uk-UA"/>
        </w:rPr>
        <w:t>:</w:t>
      </w:r>
    </w:p>
    <w:p w14:paraId="5291DD54" w14:textId="77777777" w:rsidR="005256E5" w:rsidRPr="003E4284" w:rsidRDefault="001A70F9"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техніко-економічне обґрунтування (далі -</w:t>
      </w:r>
      <w:r w:rsidR="00573484" w:rsidRPr="003E4284">
        <w:rPr>
          <w:lang w:val="uk-UA"/>
        </w:rPr>
        <w:t>ТЕО</w:t>
      </w:r>
      <w:r w:rsidRPr="003E4284">
        <w:rPr>
          <w:lang w:val="uk-UA"/>
        </w:rPr>
        <w:t>)</w:t>
      </w:r>
      <w:r w:rsidR="00573484" w:rsidRPr="003E4284">
        <w:rPr>
          <w:lang w:val="uk-UA"/>
        </w:rPr>
        <w:t xml:space="preserve">, </w:t>
      </w:r>
    </w:p>
    <w:p w14:paraId="24622A4E" w14:textId="43D15141" w:rsidR="005256E5" w:rsidRPr="003E4284" w:rsidRDefault="00B05D90"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будівництва  електричних мереж лінійної частини приєднання</w:t>
      </w:r>
      <w:r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Pr="003E4284">
        <w:rPr>
          <w:lang w:val="uk-UA"/>
        </w:rPr>
        <w:t xml:space="preserve"> </w:t>
      </w:r>
      <w:r w:rsidR="00573484" w:rsidRPr="003E4284">
        <w:rPr>
          <w:lang w:val="uk-UA"/>
        </w:rPr>
        <w:t xml:space="preserve">на відповідність вимогам ТУ та завдання на проєктування, </w:t>
      </w:r>
    </w:p>
    <w:p w14:paraId="0F020081" w14:textId="3F09122B" w:rsidR="00B029AC" w:rsidRPr="003E4284" w:rsidRDefault="00B05D90"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 xml:space="preserve">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xml:space="preserve">, </w:t>
      </w:r>
      <w:r w:rsidR="00BE4BE2" w:rsidRPr="003E4284">
        <w:rPr>
          <w:lang w:val="uk-UA"/>
        </w:rPr>
        <w:t>на відповідність вимогам технічних умов у частині вибору параметрів електричного обладнання на станційному об'єкті (трансформаторна підстанція) замовника та узгодження електричних мереж замовника із електричними мережами ОСР на напрузі приєднання 6 кВ та вище</w:t>
      </w:r>
      <w:r w:rsidR="001A70F9" w:rsidRPr="003E4284">
        <w:rPr>
          <w:lang w:val="uk-UA"/>
        </w:rPr>
        <w:t>,</w:t>
      </w:r>
      <w:r w:rsidR="00BE4BE2" w:rsidRPr="003E4284">
        <w:rPr>
          <w:lang w:val="uk-UA"/>
        </w:rPr>
        <w:t xml:space="preserve"> </w:t>
      </w:r>
      <w:r w:rsidR="002E4E72" w:rsidRPr="003E4284">
        <w:rPr>
          <w:lang w:val="uk-UA"/>
        </w:rPr>
        <w:t xml:space="preserve">для ТУ виданих до </w:t>
      </w:r>
      <w:r w:rsidR="001A70F9" w:rsidRPr="003E4284">
        <w:rPr>
          <w:lang w:val="uk-UA"/>
        </w:rPr>
        <w:t>0</w:t>
      </w:r>
      <w:r w:rsidR="002E4E72" w:rsidRPr="003E4284">
        <w:rPr>
          <w:lang w:val="uk-UA"/>
        </w:rPr>
        <w:t>1.06.2021</w:t>
      </w:r>
      <w:r w:rsidR="001A70F9" w:rsidRPr="003E4284">
        <w:rPr>
          <w:lang w:val="uk-UA"/>
        </w:rPr>
        <w:t xml:space="preserve"> </w:t>
      </w:r>
      <w:r w:rsidR="002E4E72" w:rsidRPr="003E4284">
        <w:rPr>
          <w:lang w:val="uk-UA"/>
        </w:rPr>
        <w:t>р</w:t>
      </w:r>
      <w:r w:rsidR="001A70F9" w:rsidRPr="003E4284">
        <w:rPr>
          <w:lang w:val="uk-UA"/>
        </w:rPr>
        <w:t>.</w:t>
      </w:r>
      <w:r w:rsidR="002E4E72" w:rsidRPr="003E4284">
        <w:rPr>
          <w:lang w:val="uk-UA"/>
        </w:rPr>
        <w:t>, та на напрузі 27</w:t>
      </w:r>
      <w:r w:rsidR="001A70F9" w:rsidRPr="003E4284">
        <w:rPr>
          <w:lang w:val="uk-UA"/>
        </w:rPr>
        <w:t xml:space="preserve"> </w:t>
      </w:r>
      <w:r w:rsidR="002E4E72" w:rsidRPr="003E4284">
        <w:rPr>
          <w:lang w:val="uk-UA"/>
        </w:rPr>
        <w:t xml:space="preserve">кВ та вище для ТУ виданих після </w:t>
      </w:r>
      <w:r w:rsidR="001A70F9" w:rsidRPr="003E4284">
        <w:rPr>
          <w:lang w:val="uk-UA"/>
        </w:rPr>
        <w:t>0</w:t>
      </w:r>
      <w:r w:rsidR="002E4E72" w:rsidRPr="003E4284">
        <w:rPr>
          <w:lang w:val="uk-UA"/>
        </w:rPr>
        <w:t>1.06.2021</w:t>
      </w:r>
      <w:r w:rsidR="001A70F9" w:rsidRPr="003E4284">
        <w:rPr>
          <w:lang w:val="uk-UA"/>
        </w:rPr>
        <w:t xml:space="preserve"> </w:t>
      </w:r>
      <w:r w:rsidR="002E4E72" w:rsidRPr="003E4284">
        <w:rPr>
          <w:lang w:val="uk-UA"/>
        </w:rPr>
        <w:t>р.</w:t>
      </w:r>
      <w:r w:rsidR="00573484" w:rsidRPr="003E4284">
        <w:rPr>
          <w:lang w:val="uk-UA"/>
        </w:rPr>
        <w:t xml:space="preserve">, </w:t>
      </w:r>
    </w:p>
    <w:p w14:paraId="345C5023" w14:textId="2A2918C5" w:rsidR="002E4E72" w:rsidRPr="001A70F9" w:rsidRDefault="00573484"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 xml:space="preserve">на </w:t>
      </w:r>
      <w:r w:rsidR="00B029AC" w:rsidRPr="003E4284">
        <w:rPr>
          <w:lang w:val="uk-UA"/>
        </w:rPr>
        <w:t>у</w:t>
      </w:r>
      <w:r w:rsidRPr="003E4284">
        <w:rPr>
          <w:lang w:val="uk-UA"/>
        </w:rPr>
        <w:t>лаштування вузла комерційного обліку у разі обрання ОСР постачальником</w:t>
      </w:r>
      <w:r w:rsidRPr="001A70F9">
        <w:rPr>
          <w:lang w:val="uk-UA"/>
        </w:rPr>
        <w:t xml:space="preserve"> послуги ППКО.</w:t>
      </w:r>
    </w:p>
    <w:p w14:paraId="688ACAFA" w14:textId="6D8C0529" w:rsidR="00BE4BE2" w:rsidRPr="00414584" w:rsidRDefault="002E4E72" w:rsidP="00467567">
      <w:pPr>
        <w:pStyle w:val="a3"/>
        <w:numPr>
          <w:ilvl w:val="0"/>
          <w:numId w:val="2"/>
        </w:numPr>
        <w:spacing w:before="0" w:beforeAutospacing="0" w:after="0" w:afterAutospacing="0"/>
        <w:ind w:left="0" w:firstLine="709"/>
        <w:jc w:val="both"/>
        <w:rPr>
          <w:lang w:val="uk-UA"/>
        </w:rPr>
      </w:pPr>
      <w:r w:rsidRPr="001A70F9">
        <w:rPr>
          <w:lang w:val="uk-UA"/>
        </w:rPr>
        <w:t xml:space="preserve">Термін </w:t>
      </w:r>
      <w:r w:rsidR="00BE4BE2" w:rsidRPr="001A70F9">
        <w:rPr>
          <w:lang w:val="uk-UA"/>
        </w:rPr>
        <w:t xml:space="preserve">розгляду </w:t>
      </w:r>
      <w:r w:rsidR="00B029AC">
        <w:rPr>
          <w:lang w:val="uk-UA"/>
        </w:rPr>
        <w:t xml:space="preserve">ПКД </w:t>
      </w:r>
      <w:r w:rsidR="00BE4BE2" w:rsidRPr="001A70F9">
        <w:rPr>
          <w:lang w:val="uk-UA"/>
        </w:rPr>
        <w:t xml:space="preserve">та ТЕО, </w:t>
      </w:r>
      <w:r w:rsidR="00B029AC" w:rsidRPr="003E4284">
        <w:rPr>
          <w:lang w:val="uk-UA"/>
        </w:rPr>
        <w:t>розробленої замовником та</w:t>
      </w:r>
      <w:r w:rsidR="00B029AC">
        <w:rPr>
          <w:lang w:val="uk-UA"/>
        </w:rPr>
        <w:t xml:space="preserve"> </w:t>
      </w:r>
      <w:r w:rsidR="00BE4BE2" w:rsidRPr="001A70F9">
        <w:rPr>
          <w:lang w:val="uk-UA"/>
        </w:rPr>
        <w:t>отриман</w:t>
      </w:r>
      <w:r w:rsidR="00B029AC">
        <w:rPr>
          <w:lang w:val="uk-UA"/>
        </w:rPr>
        <w:t>ої</w:t>
      </w:r>
      <w:r w:rsidR="00BE4BE2" w:rsidRPr="001A70F9">
        <w:rPr>
          <w:lang w:val="uk-UA"/>
        </w:rPr>
        <w:t xml:space="preserve"> ОСР на узгодження, не може перевищувати 15 робочих днів, починаючи з наступного</w:t>
      </w:r>
      <w:r w:rsidR="00BE4BE2" w:rsidRPr="00414584">
        <w:rPr>
          <w:lang w:val="uk-UA"/>
        </w:rPr>
        <w:t xml:space="preserve"> робочого дня від дати отримання, а у разі необхідності узгодження з іншими операторами - 30 робочих днів.</w:t>
      </w:r>
    </w:p>
    <w:p w14:paraId="6710DDA7" w14:textId="55160684" w:rsidR="002E4E72" w:rsidRPr="00414584" w:rsidRDefault="00BE4BE2" w:rsidP="00467567">
      <w:pPr>
        <w:pStyle w:val="a3"/>
        <w:numPr>
          <w:ilvl w:val="0"/>
          <w:numId w:val="2"/>
        </w:numPr>
        <w:spacing w:before="0" w:beforeAutospacing="0" w:after="0" w:afterAutospacing="0"/>
        <w:ind w:left="0" w:firstLine="709"/>
        <w:jc w:val="both"/>
        <w:rPr>
          <w:lang w:val="uk-UA"/>
        </w:rPr>
      </w:pPr>
      <w:r w:rsidRPr="00414584">
        <w:rPr>
          <w:lang w:val="uk-UA"/>
        </w:rPr>
        <w:t xml:space="preserve">За результатами розгляду </w:t>
      </w:r>
      <w:r w:rsidR="00B029AC">
        <w:rPr>
          <w:lang w:val="uk-UA"/>
        </w:rPr>
        <w:t xml:space="preserve">ПКД </w:t>
      </w:r>
      <w:r w:rsidRPr="00414584">
        <w:rPr>
          <w:lang w:val="uk-UA"/>
        </w:rPr>
        <w:t>ОСР, що видав технічні умови, оформлює узагальнене технічне рішення щодо проєкту.</w:t>
      </w:r>
      <w:r w:rsidR="00573484" w:rsidRPr="00414584">
        <w:rPr>
          <w:lang w:val="uk-UA"/>
        </w:rPr>
        <w:t xml:space="preserve"> </w:t>
      </w:r>
      <w:r w:rsidRPr="00414584">
        <w:rPr>
          <w:lang w:val="uk-UA"/>
        </w:rPr>
        <w:t xml:space="preserve">Технічним рішенням </w:t>
      </w:r>
      <w:r w:rsidR="00B029AC">
        <w:rPr>
          <w:lang w:val="uk-UA"/>
        </w:rPr>
        <w:t xml:space="preserve">ПКД </w:t>
      </w:r>
      <w:r w:rsidRPr="00414584">
        <w:rPr>
          <w:lang w:val="uk-UA"/>
        </w:rPr>
        <w:t>або узгоджується, або до неї надаються обґрунтовані зауваження, що потребують доопрацювання проєкту.</w:t>
      </w:r>
      <w:r w:rsidR="002E4E72" w:rsidRPr="00414584">
        <w:rPr>
          <w:lang w:val="uk-UA"/>
        </w:rPr>
        <w:t xml:space="preserve"> Обґрунтовані зауваження до </w:t>
      </w:r>
      <w:r w:rsidR="00B029AC">
        <w:rPr>
          <w:lang w:val="uk-UA"/>
        </w:rPr>
        <w:t xml:space="preserve">ПКД </w:t>
      </w:r>
      <w:r w:rsidR="002E4E72" w:rsidRPr="00414584">
        <w:rPr>
          <w:lang w:val="uk-UA"/>
        </w:rPr>
        <w:t>мають містити посилання на вимоги стандартів та нормативних документів.</w:t>
      </w:r>
    </w:p>
    <w:p w14:paraId="53FB25C7" w14:textId="112BA979" w:rsidR="00BE4BE2" w:rsidRPr="00414584" w:rsidRDefault="00573484" w:rsidP="00467567">
      <w:pPr>
        <w:pStyle w:val="a3"/>
        <w:numPr>
          <w:ilvl w:val="0"/>
          <w:numId w:val="2"/>
        </w:numPr>
        <w:spacing w:before="0" w:beforeAutospacing="0" w:after="0" w:afterAutospacing="0"/>
        <w:ind w:left="0" w:firstLine="709"/>
        <w:jc w:val="both"/>
        <w:rPr>
          <w:lang w:val="uk-UA"/>
        </w:rPr>
      </w:pPr>
      <w:r w:rsidRPr="00414584">
        <w:rPr>
          <w:lang w:val="uk-UA"/>
        </w:rPr>
        <w:t>Безоплатно розглядає та погоджує д</w:t>
      </w:r>
      <w:r w:rsidR="00BE4BE2" w:rsidRPr="00414584">
        <w:rPr>
          <w:lang w:val="uk-UA"/>
        </w:rPr>
        <w:t>оопрацьован</w:t>
      </w:r>
      <w:r w:rsidR="00BE4BE2" w:rsidRPr="00B029AC">
        <w:rPr>
          <w:strike/>
          <w:lang w:val="uk-UA"/>
        </w:rPr>
        <w:t>а</w:t>
      </w:r>
      <w:r w:rsidR="00B029AC">
        <w:rPr>
          <w:lang w:val="uk-UA"/>
        </w:rPr>
        <w:t>у</w:t>
      </w:r>
      <w:r w:rsidR="00BE4BE2" w:rsidRPr="00414584">
        <w:rPr>
          <w:lang w:val="uk-UA"/>
        </w:rPr>
        <w:t xml:space="preserve"> </w:t>
      </w:r>
      <w:r w:rsidR="00B029AC">
        <w:rPr>
          <w:lang w:val="uk-UA"/>
        </w:rPr>
        <w:t xml:space="preserve">ПКД </w:t>
      </w:r>
      <w:r w:rsidR="00BE4BE2" w:rsidRPr="00414584">
        <w:rPr>
          <w:lang w:val="uk-UA"/>
        </w:rPr>
        <w:t>у строки</w:t>
      </w:r>
      <w:r w:rsidR="0096752C" w:rsidRPr="00414584">
        <w:rPr>
          <w:lang w:val="uk-UA"/>
        </w:rPr>
        <w:t xml:space="preserve"> -</w:t>
      </w:r>
      <w:r w:rsidR="001A70F9">
        <w:rPr>
          <w:lang w:val="uk-UA"/>
        </w:rPr>
        <w:t xml:space="preserve"> </w:t>
      </w:r>
      <w:r w:rsidR="0096752C" w:rsidRPr="00414584">
        <w:rPr>
          <w:lang w:val="uk-UA"/>
        </w:rPr>
        <w:t>15 робочих днів, починаючи з наступного робочого дня від дати отримання, а у разі необхідності узгодження з іншими операторами - 30 робочих днів</w:t>
      </w:r>
      <w:r w:rsidR="003E4284">
        <w:rPr>
          <w:lang w:val="uk-UA"/>
        </w:rPr>
        <w:t>.</w:t>
      </w:r>
      <w:r w:rsidR="00BE4BE2" w:rsidRPr="00414584">
        <w:rPr>
          <w:lang w:val="uk-UA"/>
        </w:rPr>
        <w:t xml:space="preserve"> Під час повторного погодження проєктно-кошторисної документації не дозволяється висувати зауваження, якщо вони не стосуються внесених змін до проєктної документації або </w:t>
      </w:r>
      <w:r w:rsidR="001A70F9" w:rsidRPr="00414584">
        <w:rPr>
          <w:lang w:val="uk-UA"/>
        </w:rPr>
        <w:t>не усунення</w:t>
      </w:r>
      <w:r w:rsidR="00BE4BE2" w:rsidRPr="00414584">
        <w:rPr>
          <w:lang w:val="uk-UA"/>
        </w:rPr>
        <w:t xml:space="preserve"> раніше наданих зауважень.</w:t>
      </w:r>
    </w:p>
    <w:p w14:paraId="7C065C51" w14:textId="77777777" w:rsidR="0096752C" w:rsidRPr="00414584" w:rsidRDefault="0096752C" w:rsidP="00467567">
      <w:pPr>
        <w:pStyle w:val="rvps2"/>
        <w:shd w:val="clear" w:color="auto" w:fill="FFFFFF"/>
        <w:spacing w:before="0" w:beforeAutospacing="0" w:after="0" w:afterAutospacing="0" w:line="360" w:lineRule="auto"/>
        <w:ind w:firstLine="709"/>
        <w:jc w:val="both"/>
        <w:rPr>
          <w:rFonts w:eastAsiaTheme="minorEastAsia"/>
          <w:lang w:val="uk-UA"/>
        </w:rPr>
      </w:pPr>
    </w:p>
    <w:p w14:paraId="6609ABAE" w14:textId="0CC7F2E9" w:rsidR="0096752C" w:rsidRPr="003E4284" w:rsidRDefault="00E80FAE" w:rsidP="00A84244">
      <w:pPr>
        <w:pStyle w:val="rvps2"/>
        <w:numPr>
          <w:ilvl w:val="0"/>
          <w:numId w:val="1"/>
        </w:numPr>
        <w:shd w:val="clear" w:color="auto" w:fill="FFFFFF"/>
        <w:spacing w:before="0" w:beforeAutospacing="0" w:after="0" w:afterAutospacing="0" w:line="360" w:lineRule="auto"/>
        <w:ind w:left="0" w:firstLine="0"/>
        <w:jc w:val="center"/>
        <w:rPr>
          <w:rFonts w:eastAsiaTheme="minorEastAsia"/>
          <w:b/>
          <w:bCs/>
          <w:lang w:val="uk-UA"/>
        </w:rPr>
      </w:pPr>
      <w:r w:rsidRPr="003E4284">
        <w:rPr>
          <w:rFonts w:eastAsiaTheme="minorEastAsia"/>
          <w:b/>
          <w:bCs/>
          <w:lang w:val="uk-UA"/>
        </w:rPr>
        <w:t xml:space="preserve">Вимоги до </w:t>
      </w:r>
      <w:r w:rsidR="001F7BD1" w:rsidRPr="003E4284">
        <w:rPr>
          <w:rFonts w:eastAsiaTheme="minorEastAsia"/>
          <w:b/>
          <w:bCs/>
          <w:lang w:val="uk-UA"/>
        </w:rPr>
        <w:t xml:space="preserve">розробки та </w:t>
      </w:r>
      <w:r w:rsidRPr="003E4284">
        <w:rPr>
          <w:rFonts w:eastAsiaTheme="minorEastAsia"/>
          <w:b/>
          <w:bCs/>
          <w:lang w:val="uk-UA"/>
        </w:rPr>
        <w:t>о</w:t>
      </w:r>
      <w:r w:rsidR="0096752C" w:rsidRPr="003E4284">
        <w:rPr>
          <w:rFonts w:eastAsiaTheme="minorEastAsia"/>
          <w:b/>
          <w:bCs/>
          <w:lang w:val="uk-UA"/>
        </w:rPr>
        <w:t xml:space="preserve">формлення </w:t>
      </w:r>
      <w:r w:rsidRPr="003E4284">
        <w:rPr>
          <w:rFonts w:eastAsiaTheme="minorEastAsia"/>
          <w:b/>
          <w:bCs/>
          <w:lang w:val="uk-UA"/>
        </w:rPr>
        <w:t>ПКД</w:t>
      </w:r>
    </w:p>
    <w:p w14:paraId="7B30C17F" w14:textId="797CE581"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ПКД оформлюється</w:t>
      </w:r>
      <w:r w:rsidR="00195257" w:rsidRPr="00414584">
        <w:rPr>
          <w:lang w:val="uk-UA"/>
        </w:rPr>
        <w:t xml:space="preserve"> українською мовою,</w:t>
      </w:r>
      <w:r w:rsidRPr="00414584">
        <w:rPr>
          <w:lang w:val="uk-UA"/>
        </w:rPr>
        <w:t xml:space="preserve"> відповідно до</w:t>
      </w:r>
      <w:r w:rsidR="00195257" w:rsidRPr="00414584">
        <w:rPr>
          <w:lang w:val="uk-UA"/>
        </w:rPr>
        <w:t xml:space="preserve"> вимог </w:t>
      </w:r>
      <w:r w:rsidRPr="00414584">
        <w:rPr>
          <w:lang w:val="uk-UA"/>
        </w:rPr>
        <w:t>ДБН А.2.2-3-2014 «Склад та зміст проектної документації на будівництво»</w:t>
      </w:r>
      <w:r w:rsidR="00195257" w:rsidRPr="00414584">
        <w:rPr>
          <w:lang w:val="uk-UA"/>
        </w:rPr>
        <w:t xml:space="preserve">, </w:t>
      </w:r>
      <w:r w:rsidRPr="00414584">
        <w:rPr>
          <w:lang w:val="uk-UA"/>
        </w:rPr>
        <w:t>ДСТУ Б А.2.4-4:2009 «Основні вимоги до проектної та робочої документації» зі змінами</w:t>
      </w:r>
      <w:r w:rsidR="00E80FAE" w:rsidRPr="00414584">
        <w:rPr>
          <w:lang w:val="uk-UA"/>
        </w:rPr>
        <w:t xml:space="preserve">, </w:t>
      </w:r>
      <w:r w:rsidR="00195257" w:rsidRPr="00414584">
        <w:rPr>
          <w:lang w:val="uk-UA"/>
        </w:rPr>
        <w:t xml:space="preserve">ДСТУ Б А.2.4-4:2009 “Основні вимоги до проєктної і робочої документації”, ДБН В.1.2-14:2018 “Система забезпечення надійності та безпеки будівельних об’єктів, «Загальні принципи забезпечення надійності та конструктивної безпеки будівель і споруд”, “Порядку розроблення проєктної документації на будівництво об’єктів” затвердженого Наказом Міністерства регіонального розвитку, будівництва та житлово-комунального господарства України №45 від 16.05.2011 зі змінами, </w:t>
      </w:r>
      <w:r w:rsidR="00E80FAE" w:rsidRPr="00414584">
        <w:rPr>
          <w:lang w:val="uk-UA"/>
        </w:rPr>
        <w:t>завданням на проєктування та вимогами чинного законодавства України</w:t>
      </w:r>
      <w:r w:rsidR="00195257" w:rsidRPr="00414584">
        <w:rPr>
          <w:lang w:val="uk-UA"/>
        </w:rPr>
        <w:t xml:space="preserve"> з урахуванням нормативних та галузевих документів</w:t>
      </w:r>
      <w:r w:rsidRPr="00414584">
        <w:rPr>
          <w:lang w:val="uk-UA"/>
        </w:rPr>
        <w:t>.</w:t>
      </w:r>
    </w:p>
    <w:p w14:paraId="1D3A6252" w14:textId="1DF0DB34" w:rsidR="00195257" w:rsidRPr="00414584" w:rsidRDefault="007A17CD" w:rsidP="00A84244">
      <w:pPr>
        <w:pStyle w:val="a3"/>
        <w:numPr>
          <w:ilvl w:val="1"/>
          <w:numId w:val="1"/>
        </w:numPr>
        <w:spacing w:before="0" w:beforeAutospacing="0" w:after="0" w:afterAutospacing="0"/>
        <w:ind w:left="0" w:firstLine="709"/>
        <w:jc w:val="both"/>
        <w:rPr>
          <w:lang w:val="uk-UA"/>
        </w:rPr>
      </w:pPr>
      <w:r w:rsidRPr="003E4284">
        <w:rPr>
          <w:rFonts w:eastAsia="Times New Roman"/>
          <w:color w:val="333333"/>
          <w:lang w:val="uk-UA"/>
        </w:rPr>
        <w:t xml:space="preserve">Назва об’єкта будівництва за </w:t>
      </w:r>
      <w:r w:rsidR="00E80FAE" w:rsidRPr="003E4284">
        <w:rPr>
          <w:lang w:val="uk-UA"/>
        </w:rPr>
        <w:t>проєктно</w:t>
      </w:r>
      <w:r w:rsidRPr="003E4284">
        <w:rPr>
          <w:lang w:val="uk-UA"/>
        </w:rPr>
        <w:t>ю</w:t>
      </w:r>
      <w:r w:rsidR="00E80FAE" w:rsidRPr="003E4284">
        <w:rPr>
          <w:lang w:val="uk-UA"/>
        </w:rPr>
        <w:t xml:space="preserve"> документаці</w:t>
      </w:r>
      <w:r w:rsidRPr="003E4284">
        <w:rPr>
          <w:lang w:val="uk-UA"/>
        </w:rPr>
        <w:t>єю</w:t>
      </w:r>
      <w:r w:rsidR="00E80FAE" w:rsidRPr="003E4284">
        <w:rPr>
          <w:lang w:val="uk-UA"/>
        </w:rPr>
        <w:t xml:space="preserve"> має відповідати завданню на проєктування, не змінюватися на всіх</w:t>
      </w:r>
      <w:r w:rsidR="00E80FAE" w:rsidRPr="00414584">
        <w:rPr>
          <w:lang w:val="uk-UA"/>
        </w:rPr>
        <w:t xml:space="preserve"> стадіях проєктування та відображати вид будівництва (нове будівництво, реконструкція, реставрація, капітальний ремонт) та </w:t>
      </w:r>
      <w:r w:rsidR="00E80FAE" w:rsidRPr="007A17CD">
        <w:rPr>
          <w:lang w:val="uk-UA"/>
        </w:rPr>
        <w:t>його</w:t>
      </w:r>
      <w:r w:rsidR="00E80FAE" w:rsidRPr="00414584">
        <w:rPr>
          <w:lang w:val="uk-UA"/>
        </w:rPr>
        <w:t xml:space="preserve"> місце </w:t>
      </w:r>
      <w:r w:rsidR="00E80FAE" w:rsidRPr="00414584">
        <w:rPr>
          <w:lang w:val="uk-UA"/>
        </w:rPr>
        <w:lastRenderedPageBreak/>
        <w:t>розташування (Вимоги п.8 Наказу №45 від 16.05.2011 “Про затвердження Порядку розроблення проєктної документації на будівництво об’єктів” у діючий редакції з внесеними змінами).</w:t>
      </w:r>
    </w:p>
    <w:p w14:paraId="285F53C0" w14:textId="3D9B0F4E"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Проектна і кошторисна документація на паперових носіях повинна бути зброшурована та завірена печатками і підписами відповідальних виконавців.</w:t>
      </w:r>
    </w:p>
    <w:p w14:paraId="2FFFEA88" w14:textId="2B3FBCD2"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Кошториси  брошурувати окремо від проектної документації (окремими томами) із вшитими прайс-листами та комерційними пропозиціями.</w:t>
      </w:r>
    </w:p>
    <w:p w14:paraId="1B45DFFC" w14:textId="0AE77B53" w:rsidR="00195257" w:rsidRPr="00414584" w:rsidRDefault="00195257" w:rsidP="00A84244">
      <w:pPr>
        <w:pStyle w:val="a3"/>
        <w:numPr>
          <w:ilvl w:val="1"/>
          <w:numId w:val="1"/>
        </w:numPr>
        <w:spacing w:before="0" w:beforeAutospacing="0" w:after="0" w:afterAutospacing="0"/>
        <w:ind w:left="0" w:firstLine="709"/>
        <w:jc w:val="both"/>
        <w:rPr>
          <w:lang w:val="uk-UA"/>
        </w:rPr>
      </w:pPr>
      <w:r w:rsidRPr="00414584">
        <w:rPr>
          <w:lang w:val="uk-UA"/>
        </w:rPr>
        <w:t>У разі розробки ПКД з нового будівництва, для отримання містобудівних умов та обмежень, до початку розробки ПКД необхідно виконати передпроєктні та топографо-геодезичні вишукування, які мають бути погоджені з</w:t>
      </w:r>
      <w:r w:rsidRPr="007A17CD">
        <w:rPr>
          <w:strike/>
          <w:lang w:val="uk-UA"/>
        </w:rPr>
        <w:t>о</w:t>
      </w:r>
      <w:r w:rsidR="007A17CD">
        <w:rPr>
          <w:lang w:val="uk-UA"/>
        </w:rPr>
        <w:t>і</w:t>
      </w:r>
      <w:r w:rsidRPr="00414584">
        <w:rPr>
          <w:lang w:val="uk-UA"/>
        </w:rPr>
        <w:t xml:space="preserve"> всіма зацікавленими організаціями. У складі ПКД з нового будівництва повинні міститись довідки з державної статистичної звітності про наявність земель та розподіл їх за власниками земель, землекористувачами та угіддями. </w:t>
      </w:r>
    </w:p>
    <w:p w14:paraId="55741D5F" w14:textId="61C42BEB" w:rsidR="001F7BD1" w:rsidRPr="00414584" w:rsidRDefault="00195257" w:rsidP="00A84244">
      <w:pPr>
        <w:pStyle w:val="a3"/>
        <w:numPr>
          <w:ilvl w:val="1"/>
          <w:numId w:val="1"/>
        </w:numPr>
        <w:spacing w:before="0" w:beforeAutospacing="0" w:after="0" w:afterAutospacing="0"/>
        <w:ind w:left="0" w:firstLine="709"/>
        <w:jc w:val="both"/>
        <w:rPr>
          <w:lang w:val="uk-UA"/>
        </w:rPr>
      </w:pPr>
      <w:r w:rsidRPr="00414584">
        <w:rPr>
          <w:lang w:val="uk-UA"/>
        </w:rPr>
        <w:t>У складі проєктної документації обов’язкова наявність:</w:t>
      </w:r>
    </w:p>
    <w:p w14:paraId="0CBFB8B8" w14:textId="51E46575" w:rsidR="00195257" w:rsidRPr="00414584" w:rsidRDefault="00195257" w:rsidP="00A84244">
      <w:pPr>
        <w:pStyle w:val="a3"/>
        <w:numPr>
          <w:ilvl w:val="2"/>
          <w:numId w:val="1"/>
        </w:numPr>
        <w:spacing w:before="0" w:beforeAutospacing="0" w:after="0" w:afterAutospacing="0"/>
        <w:ind w:left="0" w:firstLine="709"/>
        <w:jc w:val="both"/>
        <w:rPr>
          <w:lang w:val="uk-UA"/>
        </w:rPr>
      </w:pPr>
      <w:r w:rsidRPr="00414584">
        <w:rPr>
          <w:lang w:val="uk-UA"/>
        </w:rPr>
        <w:t>Завдання на проєктування, технічних умов та вихідних даних згідно ДБН А.2.2-3-2014 та укладеного договору. При виконанні проєктної документації на приєднання до мереж Оператора системи розподілу до проєкту повинні додаватись копія технічних умов та копія договору про приєднання до електричних мереж.</w:t>
      </w:r>
    </w:p>
    <w:p w14:paraId="321E1627" w14:textId="25AF21A4"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Копій кваліфікаційних сертифікатів відповідальних виконавців інженерів-проектувальників та наказу про призначення відповідальних інженерів-проєктувальника. </w:t>
      </w:r>
    </w:p>
    <w:p w14:paraId="4744AF8F" w14:textId="7524F724"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Розрахунку категорії складності та класу наслідків об’єкту будівництва, виконаного у відповідності до вимог ДСТУ 8855:2019 “Будівлі та споруди. Визначення класу наслідків (відповідальності)”.</w:t>
      </w:r>
    </w:p>
    <w:p w14:paraId="310FCF2D"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Обґрунтування застосування коефіцієнтів на умови виробництва робіт у розділі ПОБ (охоронна зона, обмеженість і т.д.).</w:t>
      </w:r>
    </w:p>
    <w:p w14:paraId="468BBD1A"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Актуальної геодезичної підоснови.</w:t>
      </w:r>
    </w:p>
    <w:p w14:paraId="79E25A6B"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Узгоджень усіх зацікавлених організацій.</w:t>
      </w:r>
    </w:p>
    <w:p w14:paraId="7BB3C21D"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Повної адреси місцезнаходження об’єкту в пояснювальній записці.</w:t>
      </w:r>
    </w:p>
    <w:p w14:paraId="3A2ACD7E"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Деталювання кожного типового вузла, опори, з розшифровкою в специфікації необхідних матеріалів та устаткування.</w:t>
      </w:r>
    </w:p>
    <w:p w14:paraId="171A3776"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Нумерації опор.</w:t>
      </w:r>
    </w:p>
    <w:p w14:paraId="63CE77CA"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Зазначення відстані між опорами.</w:t>
      </w:r>
    </w:p>
    <w:p w14:paraId="02D67CFE" w14:textId="7CE7203C"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У специфікації матеріалів і устаткування необхідно вказувати тип матеріалів, устаткування і комплектуючих, повну назву підприємства-виробника або постачальника, його контактні телефони; надавати опитувальні листи, </w:t>
      </w:r>
      <w:r w:rsidR="001A70F9" w:rsidRPr="001A70F9">
        <w:rPr>
          <w:rFonts w:ascii="Times New Roman" w:eastAsiaTheme="minorEastAsia" w:hAnsi="Times New Roman" w:cs="Times New Roman"/>
          <w:sz w:val="24"/>
          <w:szCs w:val="24"/>
          <w:lang w:val="uk-UA" w:eastAsia="ru-RU"/>
        </w:rPr>
        <w:t>прайс-листи</w:t>
      </w:r>
      <w:r w:rsidRPr="00414584">
        <w:rPr>
          <w:rFonts w:ascii="Times New Roman" w:eastAsiaTheme="minorEastAsia" w:hAnsi="Times New Roman" w:cs="Times New Roman"/>
          <w:sz w:val="24"/>
          <w:szCs w:val="24"/>
          <w:lang w:val="uk-UA" w:eastAsia="ru-RU"/>
        </w:rPr>
        <w:t xml:space="preserve"> заводів-виробників або цінову пропозицію на основне устаткування.</w:t>
      </w:r>
    </w:p>
    <w:p w14:paraId="3887D950" w14:textId="77777777" w:rsidR="001F7BD1"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Для проєктної документації на нове будівництво, реконструкцію, капітальний ремонт лінійних об’єктів (у разі встановлення на них обладнання), будівель та споруд виробничого та невиробничого характеру обов’язково має бути присутній розділ “Енергоефективність” із зазначенням величин економічних ефектів, потенційної економії енергоресурсів та строків їх реалізації (короткотермінові, середньо термінові, довготермінові, реалізація в ході експлуатації). При розрахунку енергоефективності необхідно враховувати наступні типи ресурсів: обладнання, вентиляція приміщень та обладнання, освітлення, водопостачання, відкачування ґрунтових вод, опалення приміщень, обігрів обладнання, вікна, підлога, стелі, двері, стіни.</w:t>
      </w:r>
    </w:p>
    <w:p w14:paraId="3865F100" w14:textId="15FD7BEC" w:rsidR="001F7BD1" w:rsidRPr="00414584" w:rsidRDefault="001F7BD1"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На схемах робочих проєктів комерційного (розрахункового) та технічного обліку електричної енергії позначати кожний елемент вузла обліку окремо – як «комерційний» (розрахунковий) чи «технічний», при цьому, до робочих проєктів комерційного (розрахункового) та технічного обліку електричної енергії оформляти окремі специфікації та кошториси.</w:t>
      </w:r>
    </w:p>
    <w:p w14:paraId="2ECB9C5B" w14:textId="53850CA5" w:rsidR="00E80FAE" w:rsidRPr="00414584" w:rsidRDefault="00E80FAE" w:rsidP="00A84244">
      <w:pPr>
        <w:pStyle w:val="a3"/>
        <w:numPr>
          <w:ilvl w:val="1"/>
          <w:numId w:val="1"/>
        </w:numPr>
        <w:spacing w:before="0" w:beforeAutospacing="0" w:after="0" w:afterAutospacing="0"/>
        <w:ind w:left="0" w:firstLine="709"/>
        <w:jc w:val="both"/>
        <w:rPr>
          <w:lang w:val="uk-UA"/>
        </w:rPr>
      </w:pPr>
      <w:r w:rsidRPr="00414584">
        <w:rPr>
          <w:lang w:val="uk-UA"/>
        </w:rPr>
        <w:t>Погоджена проектно-кошторисна документація є чинною на весь час будівництва відповідних мереж. Зміни до узгодженої проектно-кошторисної документації на мережі зовнішнього електрозабезпечення, які призводять до зміни вартості реалізації проекту, погоджуються шляхом внесення відповідних змін до договору про приєднання.</w:t>
      </w:r>
    </w:p>
    <w:p w14:paraId="391C9202" w14:textId="3C160EDE" w:rsidR="001F7BD1" w:rsidRDefault="001F7BD1"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35451E3C" w14:textId="37A5B77E" w:rsidR="003E4284" w:rsidRDefault="003E4284"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6B7D327D" w14:textId="77777777" w:rsidR="003E4284" w:rsidRPr="00414584" w:rsidRDefault="003E4284"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126E04C5" w14:textId="60AE9266" w:rsidR="001F7BD1" w:rsidRPr="003E4284" w:rsidRDefault="001F7BD1" w:rsidP="00A84244">
      <w:pPr>
        <w:pStyle w:val="rvps2"/>
        <w:numPr>
          <w:ilvl w:val="0"/>
          <w:numId w:val="1"/>
        </w:numPr>
        <w:shd w:val="clear" w:color="auto" w:fill="FFFFFF"/>
        <w:spacing w:before="0" w:beforeAutospacing="0" w:after="0" w:afterAutospacing="0" w:line="360" w:lineRule="auto"/>
        <w:ind w:left="0" w:firstLine="0"/>
        <w:jc w:val="center"/>
        <w:rPr>
          <w:rFonts w:eastAsiaTheme="minorEastAsia"/>
          <w:b/>
          <w:bCs/>
          <w:lang w:val="uk-UA"/>
        </w:rPr>
      </w:pPr>
      <w:r w:rsidRPr="003E4284">
        <w:rPr>
          <w:rFonts w:eastAsiaTheme="minorEastAsia"/>
          <w:b/>
          <w:bCs/>
          <w:lang w:val="uk-UA"/>
        </w:rPr>
        <w:lastRenderedPageBreak/>
        <w:t>Вимоги до передачі ПКД</w:t>
      </w:r>
    </w:p>
    <w:p w14:paraId="70F41011" w14:textId="1629E316" w:rsidR="001A70F9" w:rsidRPr="00A925BA" w:rsidRDefault="0096752C" w:rsidP="00A84244">
      <w:pPr>
        <w:numPr>
          <w:ilvl w:val="1"/>
          <w:numId w:val="1"/>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1A70F9">
        <w:rPr>
          <w:rFonts w:ascii="Times New Roman" w:eastAsiaTheme="minorEastAsia" w:hAnsi="Times New Roman" w:cs="Times New Roman"/>
          <w:sz w:val="24"/>
          <w:szCs w:val="24"/>
          <w:lang w:val="uk-UA" w:eastAsia="ru-RU"/>
        </w:rPr>
        <w:t xml:space="preserve">Розроблена проєктна документація передається на узгодження у  </w:t>
      </w:r>
      <w:r w:rsidR="007A17CD">
        <w:rPr>
          <w:rFonts w:ascii="Times New Roman" w:eastAsiaTheme="minorEastAsia" w:hAnsi="Times New Roman" w:cs="Times New Roman"/>
          <w:sz w:val="24"/>
          <w:szCs w:val="24"/>
          <w:lang w:val="uk-UA" w:eastAsia="ru-RU"/>
        </w:rPr>
        <w:t xml:space="preserve">4-х </w:t>
      </w:r>
      <w:r w:rsidRPr="001A70F9">
        <w:rPr>
          <w:rFonts w:ascii="Times New Roman" w:eastAsiaTheme="minorEastAsia" w:hAnsi="Times New Roman" w:cs="Times New Roman"/>
          <w:sz w:val="24"/>
          <w:szCs w:val="24"/>
          <w:lang w:val="uk-UA" w:eastAsia="ru-RU"/>
        </w:rPr>
        <w:t>примірниках у паперовому вигляді та електронному примірнику (на USB-флеш накопи́чувачі) – для проєктів, розроблених згідно з технічними умовами (ТУ), в яких розділом ІІ ТУ передбачено будівництво/реконструкцію мереж ОСР</w:t>
      </w:r>
      <w:r w:rsidR="00B07ABD"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sz w:val="24"/>
          <w:szCs w:val="24"/>
          <w:lang w:val="uk-UA" w:eastAsia="ru-RU"/>
        </w:rPr>
        <w:t xml:space="preserve">для інших проєктів – у </w:t>
      </w:r>
      <w:r w:rsidR="007A17CD">
        <w:rPr>
          <w:rFonts w:ascii="Times New Roman" w:eastAsiaTheme="minorEastAsia" w:hAnsi="Times New Roman" w:cs="Times New Roman"/>
          <w:sz w:val="24"/>
          <w:szCs w:val="24"/>
          <w:lang w:val="uk-UA" w:eastAsia="ru-RU"/>
        </w:rPr>
        <w:t xml:space="preserve">4-х </w:t>
      </w:r>
      <w:r w:rsidRPr="001A70F9">
        <w:rPr>
          <w:rFonts w:ascii="Times New Roman" w:eastAsiaTheme="minorEastAsia" w:hAnsi="Times New Roman" w:cs="Times New Roman"/>
          <w:sz w:val="24"/>
          <w:szCs w:val="24"/>
          <w:lang w:val="uk-UA" w:eastAsia="ru-RU"/>
        </w:rPr>
        <w:t>примірниках у паперовому вигляді та електронному примірнику (на USB-флеш накопи́чувачі)</w:t>
      </w:r>
      <w:r w:rsidR="00B07ABD" w:rsidRPr="001A70F9">
        <w:rPr>
          <w:rFonts w:ascii="Times New Roman" w:eastAsiaTheme="minorEastAsia" w:hAnsi="Times New Roman" w:cs="Times New Roman"/>
          <w:sz w:val="24"/>
          <w:szCs w:val="24"/>
          <w:lang w:val="uk-UA" w:eastAsia="ru-RU"/>
        </w:rPr>
        <w:t xml:space="preserve">. Прийом ПКД здійснюється </w:t>
      </w:r>
      <w:r w:rsidRPr="001A70F9">
        <w:rPr>
          <w:rFonts w:ascii="Times New Roman" w:eastAsiaTheme="minorEastAsia" w:hAnsi="Times New Roman" w:cs="Times New Roman"/>
          <w:sz w:val="24"/>
          <w:szCs w:val="24"/>
          <w:lang w:val="uk-UA" w:eastAsia="ru-RU"/>
        </w:rPr>
        <w:t>в Центрах обслуговування клієнтів (далі – ЦОК)</w:t>
      </w:r>
      <w:r w:rsidR="00B954FA" w:rsidRPr="001A70F9">
        <w:rPr>
          <w:rFonts w:ascii="Times New Roman" w:eastAsiaTheme="minorEastAsia" w:hAnsi="Times New Roman" w:cs="Times New Roman"/>
          <w:sz w:val="24"/>
          <w:szCs w:val="24"/>
          <w:lang w:val="uk-UA" w:eastAsia="ru-RU"/>
        </w:rPr>
        <w:t xml:space="preserve">, </w:t>
      </w:r>
      <w:r w:rsidR="00414584" w:rsidRPr="001A70F9">
        <w:rPr>
          <w:rFonts w:ascii="Times New Roman" w:eastAsiaTheme="minorEastAsia" w:hAnsi="Times New Roman" w:cs="Times New Roman"/>
          <w:sz w:val="24"/>
          <w:szCs w:val="24"/>
          <w:lang w:val="uk-UA" w:eastAsia="ru-RU"/>
        </w:rPr>
        <w:t xml:space="preserve">інформація про адреси відкритих офісів центрів обслуговування клієнтів ОСР за посиланням </w:t>
      </w:r>
      <w:hyperlink r:id="rId5" w:history="1">
        <w:r w:rsidR="00416C6E" w:rsidRPr="00DE3CCB">
          <w:rPr>
            <w:rStyle w:val="a8"/>
            <w:rFonts w:ascii="Times New Roman" w:hAnsi="Times New Roman" w:cs="Times New Roman"/>
          </w:rPr>
          <w:t>https</w:t>
        </w:r>
        <w:r w:rsidR="00416C6E" w:rsidRPr="00DE3CCB">
          <w:rPr>
            <w:rStyle w:val="a8"/>
            <w:rFonts w:ascii="Times New Roman" w:hAnsi="Times New Roman" w:cs="Times New Roman"/>
            <w:lang w:val="uk-UA"/>
          </w:rPr>
          <w:t>://</w:t>
        </w:r>
        <w:r w:rsidR="00416C6E" w:rsidRPr="00DE3CCB">
          <w:rPr>
            <w:rStyle w:val="a8"/>
            <w:rFonts w:ascii="Times New Roman" w:hAnsi="Times New Roman" w:cs="Times New Roman"/>
          </w:rPr>
          <w:t>www</w:t>
        </w:r>
        <w:r w:rsidR="00416C6E" w:rsidRPr="00DE3CCB">
          <w:rPr>
            <w:rStyle w:val="a8"/>
            <w:rFonts w:ascii="Times New Roman" w:hAnsi="Times New Roman" w:cs="Times New Roman"/>
            <w:lang w:val="uk-UA"/>
          </w:rPr>
          <w:t>.</w:t>
        </w:r>
        <w:r w:rsidR="00416C6E" w:rsidRPr="00DE3CCB">
          <w:rPr>
            <w:rStyle w:val="a8"/>
            <w:rFonts w:ascii="Times New Roman" w:hAnsi="Times New Roman" w:cs="Times New Roman"/>
          </w:rPr>
          <w:t>dtek</w:t>
        </w:r>
        <w:r w:rsidR="00416C6E" w:rsidRPr="00DE3CCB">
          <w:rPr>
            <w:rStyle w:val="a8"/>
            <w:rFonts w:ascii="Times New Roman" w:hAnsi="Times New Roman" w:cs="Times New Roman"/>
            <w:lang w:val="uk-UA"/>
          </w:rPr>
          <w:t>-</w:t>
        </w:r>
        <w:r w:rsidR="00416C6E" w:rsidRPr="00DE3CCB">
          <w:rPr>
            <w:rStyle w:val="a8"/>
            <w:rFonts w:ascii="Times New Roman" w:hAnsi="Times New Roman" w:cs="Times New Roman"/>
            <w:lang w:val="en-US"/>
          </w:rPr>
          <w:t>dn</w:t>
        </w:r>
        <w:r w:rsidR="00416C6E" w:rsidRPr="00DE3CCB">
          <w:rPr>
            <w:rStyle w:val="a8"/>
            <w:rFonts w:ascii="Times New Roman" w:hAnsi="Times New Roman" w:cs="Times New Roman"/>
          </w:rPr>
          <w:t>em</w:t>
        </w:r>
        <w:r w:rsidR="00416C6E" w:rsidRPr="00DE3CCB">
          <w:rPr>
            <w:rStyle w:val="a8"/>
            <w:rFonts w:ascii="Times New Roman" w:hAnsi="Times New Roman" w:cs="Times New Roman"/>
            <w:lang w:val="uk-UA"/>
          </w:rPr>
          <w:t>.</w:t>
        </w:r>
        <w:r w:rsidR="00416C6E" w:rsidRPr="00DE3CCB">
          <w:rPr>
            <w:rStyle w:val="a8"/>
            <w:rFonts w:ascii="Times New Roman" w:hAnsi="Times New Roman" w:cs="Times New Roman"/>
          </w:rPr>
          <w:t>com</w:t>
        </w:r>
        <w:r w:rsidR="00416C6E" w:rsidRPr="00DE3CCB">
          <w:rPr>
            <w:rStyle w:val="a8"/>
            <w:rFonts w:ascii="Times New Roman" w:hAnsi="Times New Roman" w:cs="Times New Roman"/>
            <w:lang w:val="uk-UA"/>
          </w:rPr>
          <w:t>.</w:t>
        </w:r>
        <w:r w:rsidR="00416C6E" w:rsidRPr="00DE3CCB">
          <w:rPr>
            <w:rStyle w:val="a8"/>
            <w:rFonts w:ascii="Times New Roman" w:hAnsi="Times New Roman" w:cs="Times New Roman"/>
          </w:rPr>
          <w:t>ua</w:t>
        </w:r>
        <w:r w:rsidR="00416C6E" w:rsidRPr="00DE3CCB">
          <w:rPr>
            <w:rStyle w:val="a8"/>
            <w:rFonts w:ascii="Times New Roman" w:hAnsi="Times New Roman" w:cs="Times New Roman"/>
            <w:lang w:val="uk-UA"/>
          </w:rPr>
          <w:t>/</w:t>
        </w:r>
        <w:r w:rsidR="00416C6E" w:rsidRPr="00DE3CCB">
          <w:rPr>
            <w:rStyle w:val="a8"/>
            <w:rFonts w:ascii="Times New Roman" w:hAnsi="Times New Roman" w:cs="Times New Roman"/>
          </w:rPr>
          <w:t>ua</w:t>
        </w:r>
        <w:r w:rsidR="00416C6E" w:rsidRPr="00DE3CCB">
          <w:rPr>
            <w:rStyle w:val="a8"/>
            <w:rFonts w:ascii="Times New Roman" w:hAnsi="Times New Roman" w:cs="Times New Roman"/>
            <w:lang w:val="uk-UA"/>
          </w:rPr>
          <w:t>/</w:t>
        </w:r>
        <w:r w:rsidR="00416C6E" w:rsidRPr="00DE3CCB">
          <w:rPr>
            <w:rStyle w:val="a8"/>
            <w:rFonts w:ascii="Times New Roman" w:hAnsi="Times New Roman" w:cs="Times New Roman"/>
          </w:rPr>
          <w:t>service</w:t>
        </w:r>
        <w:r w:rsidR="00416C6E" w:rsidRPr="00DE3CCB">
          <w:rPr>
            <w:rStyle w:val="a8"/>
            <w:rFonts w:ascii="Times New Roman" w:hAnsi="Times New Roman" w:cs="Times New Roman"/>
            <w:lang w:val="uk-UA"/>
          </w:rPr>
          <w:t>-</w:t>
        </w:r>
        <w:r w:rsidR="00416C6E" w:rsidRPr="00DE3CCB">
          <w:rPr>
            <w:rStyle w:val="a8"/>
            <w:rFonts w:ascii="Times New Roman" w:hAnsi="Times New Roman" w:cs="Times New Roman"/>
          </w:rPr>
          <w:t>centers</w:t>
        </w:r>
      </w:hyperlink>
    </w:p>
    <w:p w14:paraId="17B1EF9E" w14:textId="4E2B3AA4" w:rsidR="00B954FA" w:rsidRPr="00414584" w:rsidRDefault="00B954FA" w:rsidP="00414584">
      <w:pPr>
        <w:spacing w:after="0" w:line="240" w:lineRule="auto"/>
        <w:ind w:firstLine="709"/>
        <w:contextualSpacing/>
        <w:jc w:val="both"/>
        <w:rPr>
          <w:rFonts w:ascii="Times New Roman" w:eastAsiaTheme="minorEastAsia" w:hAnsi="Times New Roman" w:cs="Times New Roman"/>
          <w:sz w:val="24"/>
          <w:szCs w:val="24"/>
          <w:lang w:val="uk-UA" w:eastAsia="ru-RU"/>
        </w:rPr>
      </w:pPr>
      <w:r w:rsidRPr="001A70F9">
        <w:rPr>
          <w:rFonts w:ascii="Times New Roman" w:eastAsiaTheme="minorEastAsia" w:hAnsi="Times New Roman" w:cs="Times New Roman"/>
          <w:sz w:val="24"/>
          <w:szCs w:val="24"/>
          <w:lang w:val="uk-UA" w:eastAsia="ru-RU"/>
        </w:rPr>
        <w:t>Д</w:t>
      </w:r>
      <w:r w:rsidR="0096752C" w:rsidRPr="001A70F9">
        <w:rPr>
          <w:rFonts w:ascii="Times New Roman" w:eastAsiaTheme="minorEastAsia" w:hAnsi="Times New Roman" w:cs="Times New Roman"/>
          <w:sz w:val="24"/>
          <w:szCs w:val="24"/>
          <w:lang w:val="uk-UA" w:eastAsia="ru-RU"/>
        </w:rPr>
        <w:t>опускається передача</w:t>
      </w:r>
      <w:r w:rsidR="00B07ABD" w:rsidRPr="001A70F9">
        <w:rPr>
          <w:rFonts w:ascii="Times New Roman" w:eastAsiaTheme="minorEastAsia" w:hAnsi="Times New Roman" w:cs="Times New Roman"/>
          <w:sz w:val="24"/>
          <w:szCs w:val="24"/>
          <w:lang w:val="uk-UA" w:eastAsia="ru-RU"/>
        </w:rPr>
        <w:t xml:space="preserve"> ПКД</w:t>
      </w:r>
      <w:r w:rsidR="0096752C" w:rsidRPr="001A70F9">
        <w:rPr>
          <w:rFonts w:ascii="Times New Roman" w:eastAsiaTheme="minorEastAsia" w:hAnsi="Times New Roman" w:cs="Times New Roman"/>
          <w:sz w:val="24"/>
          <w:szCs w:val="24"/>
          <w:lang w:val="uk-UA" w:eastAsia="ru-RU"/>
        </w:rPr>
        <w:t xml:space="preserve"> на розгляд в електронному вигляді</w:t>
      </w:r>
      <w:r w:rsidR="00B07ABD"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sz w:val="24"/>
          <w:szCs w:val="24"/>
          <w:lang w:val="uk-UA" w:eastAsia="ru-RU"/>
        </w:rPr>
        <w:t xml:space="preserve">за умови надання погодженої </w:t>
      </w:r>
      <w:r w:rsidR="00B07ABD" w:rsidRPr="001A70F9">
        <w:rPr>
          <w:rFonts w:ascii="Times New Roman" w:eastAsiaTheme="minorEastAsia" w:hAnsi="Times New Roman" w:cs="Times New Roman"/>
          <w:sz w:val="24"/>
          <w:szCs w:val="24"/>
          <w:lang w:val="uk-UA" w:eastAsia="ru-RU"/>
        </w:rPr>
        <w:t>версії</w:t>
      </w:r>
      <w:r w:rsidRPr="001A70F9">
        <w:rPr>
          <w:rFonts w:ascii="Times New Roman" w:eastAsiaTheme="minorEastAsia" w:hAnsi="Times New Roman" w:cs="Times New Roman"/>
          <w:sz w:val="24"/>
          <w:szCs w:val="24"/>
          <w:lang w:val="uk-UA" w:eastAsia="ru-RU"/>
        </w:rPr>
        <w:t xml:space="preserve"> ПКД у паперовому вигляді</w:t>
      </w:r>
      <w:r w:rsidR="00B07ABD" w:rsidRPr="001A70F9">
        <w:rPr>
          <w:rFonts w:ascii="Times New Roman" w:eastAsiaTheme="minorEastAsia" w:hAnsi="Times New Roman" w:cs="Times New Roman"/>
          <w:sz w:val="24"/>
          <w:szCs w:val="24"/>
          <w:lang w:val="uk-UA" w:eastAsia="ru-RU"/>
        </w:rPr>
        <w:t xml:space="preserve"> у триденний термін після </w:t>
      </w:r>
      <w:r w:rsidR="00467567" w:rsidRPr="001A70F9">
        <w:rPr>
          <w:rFonts w:ascii="Times New Roman" w:eastAsiaTheme="minorEastAsia" w:hAnsi="Times New Roman" w:cs="Times New Roman"/>
          <w:sz w:val="24"/>
          <w:szCs w:val="24"/>
          <w:lang w:val="uk-UA" w:eastAsia="ru-RU"/>
        </w:rPr>
        <w:t xml:space="preserve">направлення ОСР </w:t>
      </w:r>
      <w:r w:rsidR="00B07ABD" w:rsidRPr="001A70F9">
        <w:rPr>
          <w:rFonts w:ascii="Times New Roman" w:eastAsiaTheme="minorEastAsia" w:hAnsi="Times New Roman" w:cs="Times New Roman"/>
          <w:sz w:val="24"/>
          <w:szCs w:val="24"/>
          <w:lang w:val="uk-UA" w:eastAsia="ru-RU"/>
        </w:rPr>
        <w:t>повідомлення про необхідність надання паперової версії</w:t>
      </w:r>
      <w:r w:rsidRPr="001A70F9">
        <w:rPr>
          <w:rFonts w:ascii="Times New Roman" w:eastAsiaTheme="minorEastAsia" w:hAnsi="Times New Roman" w:cs="Times New Roman"/>
          <w:sz w:val="24"/>
          <w:szCs w:val="24"/>
          <w:lang w:val="uk-UA" w:eastAsia="ru-RU"/>
        </w:rPr>
        <w:t>.</w:t>
      </w:r>
      <w:r w:rsidR="00FD6CB0"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b/>
          <w:bCs/>
          <w:sz w:val="24"/>
          <w:szCs w:val="24"/>
          <w:lang w:val="uk-UA" w:eastAsia="ru-RU"/>
        </w:rPr>
        <w:t xml:space="preserve">Електрона версія ПКД може бути </w:t>
      </w:r>
      <w:r w:rsidR="003E4284">
        <w:rPr>
          <w:rFonts w:ascii="Times New Roman" w:eastAsiaTheme="minorEastAsia" w:hAnsi="Times New Roman" w:cs="Times New Roman"/>
          <w:b/>
          <w:bCs/>
          <w:sz w:val="24"/>
          <w:szCs w:val="24"/>
          <w:lang w:val="uk-UA" w:eastAsia="ru-RU"/>
        </w:rPr>
        <w:t>передана</w:t>
      </w:r>
      <w:r w:rsidRPr="001A70F9">
        <w:rPr>
          <w:rFonts w:ascii="Times New Roman" w:eastAsiaTheme="minorEastAsia" w:hAnsi="Times New Roman" w:cs="Times New Roman"/>
          <w:b/>
          <w:bCs/>
          <w:sz w:val="24"/>
          <w:szCs w:val="24"/>
          <w:lang w:val="uk-UA" w:eastAsia="ru-RU"/>
        </w:rPr>
        <w:t xml:space="preserve"> на </w:t>
      </w:r>
      <w:r w:rsidRPr="001A70F9">
        <w:rPr>
          <w:rFonts w:ascii="Times New Roman" w:eastAsiaTheme="minorEastAsia" w:hAnsi="Times New Roman" w:cs="Times New Roman"/>
          <w:sz w:val="24"/>
          <w:szCs w:val="24"/>
          <w:lang w:val="uk-UA" w:eastAsia="ru-RU"/>
        </w:rPr>
        <w:t>USB-флеш накопи́чувачі</w:t>
      </w:r>
      <w:r w:rsidR="00B07ABD" w:rsidRPr="001A70F9">
        <w:rPr>
          <w:rFonts w:ascii="Times New Roman" w:eastAsiaTheme="minorEastAsia" w:hAnsi="Times New Roman" w:cs="Times New Roman"/>
          <w:sz w:val="24"/>
          <w:szCs w:val="24"/>
          <w:lang w:val="uk-UA" w:eastAsia="ru-RU"/>
        </w:rPr>
        <w:t xml:space="preserve"> в</w:t>
      </w:r>
      <w:r w:rsidRPr="001A70F9">
        <w:rPr>
          <w:rFonts w:ascii="Times New Roman" w:eastAsiaTheme="minorEastAsia" w:hAnsi="Times New Roman" w:cs="Times New Roman"/>
          <w:sz w:val="24"/>
          <w:szCs w:val="24"/>
          <w:lang w:val="uk-UA" w:eastAsia="ru-RU"/>
        </w:rPr>
        <w:t xml:space="preserve"> ЦОК.</w:t>
      </w:r>
    </w:p>
    <w:p w14:paraId="3A4B9718" w14:textId="6B759418" w:rsidR="00FD6CB0" w:rsidRPr="00414584" w:rsidRDefault="00FD6CB0" w:rsidP="00A84244">
      <w:pPr>
        <w:pStyle w:val="a7"/>
        <w:numPr>
          <w:ilvl w:val="1"/>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Проектна документація повинна  містити: </w:t>
      </w:r>
    </w:p>
    <w:p w14:paraId="00F04FCF" w14:textId="77777777" w:rsidR="00FD6CB0" w:rsidRPr="00414584" w:rsidRDefault="00FD6CB0" w:rsidP="00467567">
      <w:pPr>
        <w:pStyle w:val="a7"/>
        <w:numPr>
          <w:ilvl w:val="0"/>
          <w:numId w:val="6"/>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пояснювальну записку (у форматі “pdf” та “doc”), </w:t>
      </w:r>
    </w:p>
    <w:p w14:paraId="1E3274BE" w14:textId="77777777" w:rsidR="00FD6CB0" w:rsidRPr="00414584" w:rsidRDefault="00FD6CB0" w:rsidP="00467567">
      <w:pPr>
        <w:pStyle w:val="a7"/>
        <w:numPr>
          <w:ilvl w:val="0"/>
          <w:numId w:val="6"/>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графічну частину (у форматі “pdf” та “dwg” або “vsd”), </w:t>
      </w:r>
    </w:p>
    <w:p w14:paraId="10B56DE0" w14:textId="5A08B0F5"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кошторисні розрахунки в електронному вигляді (в ПК “Строительные технологии – Смета” *.sts, в актуальній версії програми на дату складання або в конвертуємому форматі) та на паперових носіях, які повинні бути завірені печатками та підписами відповідальних осіб і виконавців; </w:t>
      </w:r>
    </w:p>
    <w:p w14:paraId="1B44E8FB" w14:textId="7777777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електронні варіанти документів в “pdf” форматі повинні бути сканованими копіями оригінальних документів з підписами виконавців та погоджень з організаціями).</w:t>
      </w:r>
    </w:p>
    <w:p w14:paraId="3DAAA2AA" w14:textId="6300E28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оригінал плану трас з погодженнями всіх зацікавлених організацій та Департаментом містобудування та архітектури;</w:t>
      </w:r>
    </w:p>
    <w:p w14:paraId="562F1BCD" w14:textId="51EC11E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оригінали Актів ШЕД та КП «</w:t>
      </w:r>
      <w:r w:rsidR="00B07ABD" w:rsidRPr="00414584">
        <w:rPr>
          <w:rFonts w:ascii="Times New Roman" w:eastAsiaTheme="minorEastAsia" w:hAnsi="Times New Roman" w:cs="Times New Roman"/>
          <w:sz w:val="24"/>
          <w:szCs w:val="24"/>
          <w:lang w:val="uk-UA" w:eastAsia="ru-RU"/>
        </w:rPr>
        <w:t>З</w:t>
      </w:r>
      <w:r w:rsidRPr="00414584">
        <w:rPr>
          <w:rFonts w:ascii="Times New Roman" w:eastAsiaTheme="minorEastAsia" w:hAnsi="Times New Roman" w:cs="Times New Roman"/>
          <w:sz w:val="24"/>
          <w:szCs w:val="24"/>
          <w:lang w:val="uk-UA" w:eastAsia="ru-RU"/>
        </w:rPr>
        <w:t>еленбуду» та Кадастрового плану ( у разі їх отримання ).</w:t>
      </w:r>
    </w:p>
    <w:p w14:paraId="684A66EE" w14:textId="3DFB83B5" w:rsidR="00FD6CB0" w:rsidRPr="00414584" w:rsidRDefault="00573484" w:rsidP="00A84244">
      <w:pPr>
        <w:pStyle w:val="rvps2"/>
        <w:numPr>
          <w:ilvl w:val="1"/>
          <w:numId w:val="1"/>
        </w:numPr>
        <w:shd w:val="clear" w:color="auto" w:fill="FFFFFF"/>
        <w:spacing w:before="0" w:beforeAutospacing="0" w:after="0" w:afterAutospacing="0"/>
        <w:ind w:left="0" w:firstLine="709"/>
        <w:jc w:val="both"/>
        <w:rPr>
          <w:rFonts w:eastAsiaTheme="minorEastAsia"/>
          <w:lang w:val="uk-UA"/>
        </w:rPr>
      </w:pPr>
      <w:r w:rsidRPr="00414584">
        <w:rPr>
          <w:rFonts w:eastAsiaTheme="minorEastAsia"/>
          <w:lang w:val="uk-UA"/>
        </w:rPr>
        <w:t>Кожний розділ електронної версії ПКД на USB-флеш накопи́чувачах має бути розміщений/збережений у окремому файлі з відповідною назвою розділу.</w:t>
      </w:r>
    </w:p>
    <w:p w14:paraId="095BA20A" w14:textId="26F6B7DA" w:rsidR="00FD6CB0" w:rsidRPr="00414584" w:rsidRDefault="00FD6CB0" w:rsidP="00A84244">
      <w:pPr>
        <w:pStyle w:val="rvps2"/>
        <w:numPr>
          <w:ilvl w:val="1"/>
          <w:numId w:val="1"/>
        </w:numPr>
        <w:shd w:val="clear" w:color="auto" w:fill="FFFFFF"/>
        <w:spacing w:before="0" w:beforeAutospacing="0" w:after="0" w:afterAutospacing="0"/>
        <w:ind w:left="0" w:firstLine="709"/>
        <w:jc w:val="both"/>
        <w:rPr>
          <w:rFonts w:eastAsiaTheme="minorEastAsia"/>
          <w:lang w:val="uk-UA"/>
        </w:rPr>
      </w:pPr>
      <w:r w:rsidRPr="00414584">
        <w:rPr>
          <w:rFonts w:eastAsiaTheme="minorEastAsia"/>
          <w:lang w:val="uk-UA"/>
        </w:rPr>
        <w:t>Проєктна документація</w:t>
      </w:r>
      <w:r w:rsidR="00B07ABD" w:rsidRPr="00414584">
        <w:rPr>
          <w:rFonts w:eastAsiaTheme="minorEastAsia"/>
          <w:lang w:val="uk-UA"/>
        </w:rPr>
        <w:t xml:space="preserve"> передається</w:t>
      </w:r>
      <w:r w:rsidRPr="00414584">
        <w:rPr>
          <w:rFonts w:eastAsiaTheme="minorEastAsia"/>
          <w:lang w:val="uk-UA"/>
        </w:rPr>
        <w:t xml:space="preserve"> згідно реєстру</w:t>
      </w:r>
      <w:r w:rsidR="00573484" w:rsidRPr="00414584">
        <w:rPr>
          <w:rFonts w:eastAsiaTheme="minorEastAsia"/>
          <w:lang w:val="uk-UA"/>
        </w:rPr>
        <w:t>.</w:t>
      </w:r>
      <w:r w:rsidRPr="00414584">
        <w:rPr>
          <w:rFonts w:eastAsiaTheme="minorEastAsia"/>
          <w:lang w:val="uk-UA"/>
        </w:rPr>
        <w:t xml:space="preserve"> </w:t>
      </w:r>
    </w:p>
    <w:p w14:paraId="143E7BD5" w14:textId="77777777" w:rsidR="000C6990" w:rsidRPr="000C6990" w:rsidRDefault="0096752C" w:rsidP="00B954FA">
      <w:pPr>
        <w:pStyle w:val="a7"/>
        <w:numPr>
          <w:ilvl w:val="1"/>
          <w:numId w:val="1"/>
        </w:numPr>
        <w:spacing w:after="0" w:line="240" w:lineRule="auto"/>
        <w:ind w:left="0" w:firstLine="709"/>
        <w:jc w:val="both"/>
        <w:rPr>
          <w:lang w:val="uk-UA"/>
        </w:rPr>
      </w:pPr>
      <w:r w:rsidRPr="000C6990">
        <w:rPr>
          <w:rFonts w:ascii="Times New Roman" w:eastAsiaTheme="minorEastAsia" w:hAnsi="Times New Roman" w:cs="Times New Roman"/>
          <w:sz w:val="24"/>
          <w:szCs w:val="24"/>
          <w:lang w:val="uk-UA" w:eastAsia="ru-RU"/>
        </w:rPr>
        <w:t>Виконавець передає ОСР 4 примірник</w:t>
      </w:r>
      <w:r w:rsidR="00467567" w:rsidRPr="000C6990">
        <w:rPr>
          <w:rFonts w:ascii="Times New Roman" w:eastAsiaTheme="minorEastAsia" w:hAnsi="Times New Roman" w:cs="Times New Roman"/>
          <w:sz w:val="24"/>
          <w:szCs w:val="24"/>
          <w:lang w:val="uk-UA" w:eastAsia="ru-RU"/>
        </w:rPr>
        <w:t xml:space="preserve">и </w:t>
      </w:r>
      <w:r w:rsidRPr="000C6990">
        <w:rPr>
          <w:rFonts w:ascii="Times New Roman" w:eastAsiaTheme="minorEastAsia" w:hAnsi="Times New Roman" w:cs="Times New Roman"/>
          <w:sz w:val="24"/>
          <w:szCs w:val="24"/>
          <w:lang w:val="uk-UA" w:eastAsia="ru-RU"/>
        </w:rPr>
        <w:t>(в паперовому вигляді) та електронну версію</w:t>
      </w:r>
      <w:r w:rsidR="00467567" w:rsidRPr="000C6990">
        <w:rPr>
          <w:rFonts w:ascii="Times New Roman" w:eastAsiaTheme="minorEastAsia" w:hAnsi="Times New Roman" w:cs="Times New Roman"/>
          <w:sz w:val="24"/>
          <w:szCs w:val="24"/>
          <w:lang w:val="uk-UA" w:eastAsia="ru-RU"/>
        </w:rPr>
        <w:t xml:space="preserve"> на USB-флеш накопи́чувачі погодженої проєктної документації у обсязі зазначеному у п.3.2.</w:t>
      </w:r>
    </w:p>
    <w:p w14:paraId="1A528DAC" w14:textId="2F182A1D" w:rsidR="0096752C" w:rsidRPr="003E4284" w:rsidRDefault="000C6990" w:rsidP="00B954FA">
      <w:pPr>
        <w:pStyle w:val="a7"/>
        <w:numPr>
          <w:ilvl w:val="1"/>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Для об’єктів будівництва  електричних мереж лінійної частини приєднання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 виконавець передає ОСР разом із погодженою проєктною документацією наступні документи</w:t>
      </w:r>
      <w:r w:rsidR="001E33F8" w:rsidRPr="003E4284">
        <w:rPr>
          <w:rFonts w:ascii="Times New Roman" w:eastAsiaTheme="minorEastAsia" w:hAnsi="Times New Roman" w:cs="Times New Roman"/>
          <w:sz w:val="24"/>
          <w:szCs w:val="24"/>
          <w:lang w:val="uk-UA" w:eastAsia="ru-RU"/>
        </w:rPr>
        <w:t>:</w:t>
      </w:r>
    </w:p>
    <w:p w14:paraId="090A780A" w14:textId="27E590A1" w:rsidR="001E33F8" w:rsidRPr="003E4284" w:rsidRDefault="001E33F8" w:rsidP="001E33F8">
      <w:pPr>
        <w:pStyle w:val="a3"/>
        <w:numPr>
          <w:ilvl w:val="0"/>
          <w:numId w:val="9"/>
        </w:numPr>
        <w:spacing w:before="0" w:beforeAutospacing="0" w:after="0" w:afterAutospacing="0"/>
        <w:jc w:val="both"/>
        <w:rPr>
          <w:lang w:val="uk-UA"/>
        </w:rPr>
      </w:pPr>
      <w:r w:rsidRPr="003E4284">
        <w:rPr>
          <w:lang w:val="uk-UA"/>
        </w:rPr>
        <w:t>оформлені на користь ОСР земельні ділянки для розміщення відповідних об'єктів електроенергетики;</w:t>
      </w:r>
    </w:p>
    <w:p w14:paraId="1E6A5700" w14:textId="654D3BD7" w:rsidR="000C6990" w:rsidRPr="003E4284" w:rsidRDefault="001E33F8"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містобудівні умови та обмеження забудови земельної ділянки для розміщення відповідних об'єктів електроенергетики;</w:t>
      </w:r>
    </w:p>
    <w:p w14:paraId="5EFD8A4F" w14:textId="76A8DD21" w:rsidR="001E33F8" w:rsidRPr="003E4284" w:rsidRDefault="00246154"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За потреби (у випадках передбачених діючим законодавством) позитивний експертний</w:t>
      </w:r>
      <w:r w:rsidRPr="003E4284">
        <w:rPr>
          <w:rFonts w:eastAsia="Times New Roman"/>
          <w:lang w:val="uk-UA"/>
        </w:rPr>
        <w:t xml:space="preserve"> </w:t>
      </w:r>
      <w:r w:rsidRPr="003E4284">
        <w:rPr>
          <w:rFonts w:ascii="Times New Roman" w:eastAsiaTheme="minorEastAsia" w:hAnsi="Times New Roman" w:cs="Times New Roman"/>
          <w:sz w:val="24"/>
          <w:szCs w:val="24"/>
          <w:lang w:val="uk-UA" w:eastAsia="ru-RU"/>
        </w:rPr>
        <w:t>висновок щодо проходження експертизи проектної документації на будівництво об’єктів;</w:t>
      </w:r>
    </w:p>
    <w:p w14:paraId="47382E27" w14:textId="10805FBD" w:rsidR="00246154" w:rsidRPr="003E4284" w:rsidRDefault="00246154"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imes New Roman" w:hAnsi="Times New Roman" w:cs="Times New Roman"/>
          <w:sz w:val="24"/>
          <w:szCs w:val="24"/>
          <w:lang w:val="uk-UA" w:eastAsia="ru-RU"/>
        </w:rPr>
        <w:t>Копію витягу про реєстрацію ПКД у «Єдиній державній електронній системі у сфері будівництва».</w:t>
      </w:r>
    </w:p>
    <w:sectPr w:rsidR="00246154" w:rsidRPr="003E4284" w:rsidSect="00414584">
      <w:pgSz w:w="11906" w:h="16838"/>
      <w:pgMar w:top="568"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A8D"/>
    <w:multiLevelType w:val="hybridMultilevel"/>
    <w:tmpl w:val="FC723E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1B5E7C"/>
    <w:multiLevelType w:val="multilevel"/>
    <w:tmpl w:val="F172668C"/>
    <w:lvl w:ilvl="0">
      <w:start w:val="1"/>
      <w:numFmt w:val="decimal"/>
      <w:lvlText w:val="%1."/>
      <w:lvlJc w:val="left"/>
      <w:pPr>
        <w:ind w:left="1353" w:hanging="360"/>
      </w:pPr>
      <w:rPr>
        <w:rFonts w:hint="default"/>
        <w:b/>
        <w:bCs/>
      </w:rPr>
    </w:lvl>
    <w:lvl w:ilvl="1">
      <w:start w:val="1"/>
      <w:numFmt w:val="decimal"/>
      <w:isLgl/>
      <w:lvlText w:val="%1.%2"/>
      <w:lvlJc w:val="left"/>
      <w:pPr>
        <w:ind w:left="1140" w:hanging="42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bCs/>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0CF7432"/>
    <w:multiLevelType w:val="hybridMultilevel"/>
    <w:tmpl w:val="BE7055AC"/>
    <w:lvl w:ilvl="0" w:tplc="8C60B7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C9725C"/>
    <w:multiLevelType w:val="hybridMultilevel"/>
    <w:tmpl w:val="927C3940"/>
    <w:lvl w:ilvl="0" w:tplc="B552A7E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C41CD0"/>
    <w:multiLevelType w:val="hybridMultilevel"/>
    <w:tmpl w:val="563A7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90F66E6"/>
    <w:multiLevelType w:val="multilevel"/>
    <w:tmpl w:val="BBD44CF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9A3554A"/>
    <w:multiLevelType w:val="multilevel"/>
    <w:tmpl w:val="7DB4C5AA"/>
    <w:lvl w:ilvl="0">
      <w:start w:val="7"/>
      <w:numFmt w:val="decimal"/>
      <w:lvlText w:val="%1"/>
      <w:lvlJc w:val="left"/>
      <w:pPr>
        <w:ind w:left="360" w:hanging="360"/>
      </w:pPr>
      <w:rPr>
        <w:rFonts w:hint="default"/>
      </w:rPr>
    </w:lvl>
    <w:lvl w:ilvl="1">
      <w:start w:val="1"/>
      <w:numFmt w:val="decimal"/>
      <w:lvlText w:val="%1.%2"/>
      <w:lvlJc w:val="left"/>
      <w:pPr>
        <w:ind w:left="2869" w:hanging="360"/>
      </w:pPr>
      <w:rPr>
        <w:rFonts w:hint="default"/>
      </w:rPr>
    </w:lvl>
    <w:lvl w:ilvl="2">
      <w:start w:val="1"/>
      <w:numFmt w:val="decimal"/>
      <w:lvlText w:val="%1.%2.%3"/>
      <w:lvlJc w:val="left"/>
      <w:pPr>
        <w:ind w:left="5738" w:hanging="720"/>
      </w:pPr>
      <w:rPr>
        <w:rFonts w:hint="default"/>
      </w:rPr>
    </w:lvl>
    <w:lvl w:ilvl="3">
      <w:start w:val="1"/>
      <w:numFmt w:val="decimal"/>
      <w:lvlText w:val="%1.%2.%3.%4"/>
      <w:lvlJc w:val="left"/>
      <w:pPr>
        <w:ind w:left="8247" w:hanging="720"/>
      </w:pPr>
      <w:rPr>
        <w:rFonts w:hint="default"/>
      </w:rPr>
    </w:lvl>
    <w:lvl w:ilvl="4">
      <w:start w:val="1"/>
      <w:numFmt w:val="decimal"/>
      <w:lvlText w:val="%1.%2.%3.%4.%5"/>
      <w:lvlJc w:val="left"/>
      <w:pPr>
        <w:ind w:left="11116" w:hanging="1080"/>
      </w:pPr>
      <w:rPr>
        <w:rFonts w:hint="default"/>
      </w:rPr>
    </w:lvl>
    <w:lvl w:ilvl="5">
      <w:start w:val="1"/>
      <w:numFmt w:val="decimal"/>
      <w:lvlText w:val="%1.%2.%3.%4.%5.%6"/>
      <w:lvlJc w:val="left"/>
      <w:pPr>
        <w:ind w:left="13625" w:hanging="1080"/>
      </w:pPr>
      <w:rPr>
        <w:rFonts w:hint="default"/>
      </w:rPr>
    </w:lvl>
    <w:lvl w:ilvl="6">
      <w:start w:val="1"/>
      <w:numFmt w:val="decimal"/>
      <w:lvlText w:val="%1.%2.%3.%4.%5.%6.%7"/>
      <w:lvlJc w:val="left"/>
      <w:pPr>
        <w:ind w:left="16494" w:hanging="1440"/>
      </w:pPr>
      <w:rPr>
        <w:rFonts w:hint="default"/>
      </w:rPr>
    </w:lvl>
    <w:lvl w:ilvl="7">
      <w:start w:val="1"/>
      <w:numFmt w:val="decimal"/>
      <w:lvlText w:val="%1.%2.%3.%4.%5.%6.%7.%8"/>
      <w:lvlJc w:val="left"/>
      <w:pPr>
        <w:ind w:left="19003" w:hanging="1440"/>
      </w:pPr>
      <w:rPr>
        <w:rFonts w:hint="default"/>
      </w:rPr>
    </w:lvl>
    <w:lvl w:ilvl="8">
      <w:start w:val="1"/>
      <w:numFmt w:val="decimal"/>
      <w:lvlText w:val="%1.%2.%3.%4.%5.%6.%7.%8.%9"/>
      <w:lvlJc w:val="left"/>
      <w:pPr>
        <w:ind w:left="21872" w:hanging="1800"/>
      </w:pPr>
      <w:rPr>
        <w:rFonts w:hint="default"/>
      </w:rPr>
    </w:lvl>
  </w:abstractNum>
  <w:abstractNum w:abstractNumId="7" w15:restartNumberingAfterBreak="0">
    <w:nsid w:val="69AE093F"/>
    <w:multiLevelType w:val="hybridMultilevel"/>
    <w:tmpl w:val="EECA6F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1F50851"/>
    <w:multiLevelType w:val="multilevel"/>
    <w:tmpl w:val="6C3CA73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709841063">
    <w:abstractNumId w:val="1"/>
  </w:num>
  <w:num w:numId="2" w16cid:durableId="1804080154">
    <w:abstractNumId w:val="7"/>
  </w:num>
  <w:num w:numId="3" w16cid:durableId="2144686947">
    <w:abstractNumId w:val="2"/>
  </w:num>
  <w:num w:numId="4" w16cid:durableId="1416896651">
    <w:abstractNumId w:val="6"/>
  </w:num>
  <w:num w:numId="5" w16cid:durableId="406002309">
    <w:abstractNumId w:val="5"/>
  </w:num>
  <w:num w:numId="6" w16cid:durableId="1020471113">
    <w:abstractNumId w:val="4"/>
  </w:num>
  <w:num w:numId="7" w16cid:durableId="23598491">
    <w:abstractNumId w:val="0"/>
  </w:num>
  <w:num w:numId="8" w16cid:durableId="1753889462">
    <w:abstractNumId w:val="8"/>
  </w:num>
  <w:num w:numId="9" w16cid:durableId="1213931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E2"/>
    <w:rsid w:val="000C6990"/>
    <w:rsid w:val="001578DB"/>
    <w:rsid w:val="00195257"/>
    <w:rsid w:val="001A70F9"/>
    <w:rsid w:val="001E33F8"/>
    <w:rsid w:val="001F7BD1"/>
    <w:rsid w:val="00246154"/>
    <w:rsid w:val="0025606C"/>
    <w:rsid w:val="002B4C83"/>
    <w:rsid w:val="002E4E72"/>
    <w:rsid w:val="002F2DA0"/>
    <w:rsid w:val="00304148"/>
    <w:rsid w:val="00366B6B"/>
    <w:rsid w:val="003E4284"/>
    <w:rsid w:val="00414584"/>
    <w:rsid w:val="00416C6E"/>
    <w:rsid w:val="00467567"/>
    <w:rsid w:val="00477ACE"/>
    <w:rsid w:val="005256E5"/>
    <w:rsid w:val="00573484"/>
    <w:rsid w:val="005A7BD6"/>
    <w:rsid w:val="00687AAC"/>
    <w:rsid w:val="007A17CD"/>
    <w:rsid w:val="0096752C"/>
    <w:rsid w:val="00A67A5F"/>
    <w:rsid w:val="00A84244"/>
    <w:rsid w:val="00A925BA"/>
    <w:rsid w:val="00A93FC2"/>
    <w:rsid w:val="00B029AC"/>
    <w:rsid w:val="00B05D90"/>
    <w:rsid w:val="00B07ABD"/>
    <w:rsid w:val="00B954FA"/>
    <w:rsid w:val="00BE4BE2"/>
    <w:rsid w:val="00D906EF"/>
    <w:rsid w:val="00E73BC3"/>
    <w:rsid w:val="00E80FAE"/>
    <w:rsid w:val="00EF536F"/>
    <w:rsid w:val="00F15858"/>
    <w:rsid w:val="00F56295"/>
    <w:rsid w:val="00F80232"/>
    <w:rsid w:val="00FD6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8373"/>
  <w15:chartTrackingRefBased/>
  <w15:docId w15:val="{381A30DF-6FA7-4F69-9E1E-008F2EAF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B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E4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BE4BE2"/>
  </w:style>
  <w:style w:type="character" w:customStyle="1" w:styleId="rvts9">
    <w:name w:val="rvts9"/>
    <w:basedOn w:val="a0"/>
    <w:rsid w:val="00BE4BE2"/>
  </w:style>
  <w:style w:type="paragraph" w:styleId="a3">
    <w:name w:val="Normal (Web)"/>
    <w:basedOn w:val="a"/>
    <w:uiPriority w:val="99"/>
    <w:unhideWhenUsed/>
    <w:rsid w:val="00BE4BE2"/>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annotation reference"/>
    <w:basedOn w:val="a0"/>
    <w:uiPriority w:val="99"/>
    <w:semiHidden/>
    <w:unhideWhenUsed/>
    <w:rsid w:val="00BE4BE2"/>
    <w:rPr>
      <w:sz w:val="16"/>
      <w:szCs w:val="16"/>
    </w:rPr>
  </w:style>
  <w:style w:type="paragraph" w:styleId="a5">
    <w:name w:val="annotation text"/>
    <w:basedOn w:val="a"/>
    <w:link w:val="a6"/>
    <w:uiPriority w:val="99"/>
    <w:unhideWhenUsed/>
    <w:rsid w:val="00BE4BE2"/>
    <w:pPr>
      <w:spacing w:line="240" w:lineRule="auto"/>
    </w:pPr>
    <w:rPr>
      <w:sz w:val="20"/>
      <w:szCs w:val="20"/>
    </w:rPr>
  </w:style>
  <w:style w:type="character" w:customStyle="1" w:styleId="a6">
    <w:name w:val="Текст примітки Знак"/>
    <w:basedOn w:val="a0"/>
    <w:link w:val="a5"/>
    <w:uiPriority w:val="99"/>
    <w:rsid w:val="00BE4BE2"/>
    <w:rPr>
      <w:sz w:val="20"/>
      <w:szCs w:val="20"/>
    </w:rPr>
  </w:style>
  <w:style w:type="paragraph" w:styleId="a7">
    <w:name w:val="List Paragraph"/>
    <w:basedOn w:val="a"/>
    <w:uiPriority w:val="34"/>
    <w:qFormat/>
    <w:rsid w:val="00BE4BE2"/>
    <w:pPr>
      <w:ind w:left="720"/>
      <w:contextualSpacing/>
    </w:pPr>
  </w:style>
  <w:style w:type="character" w:customStyle="1" w:styleId="ui-provider">
    <w:name w:val="ui-provider"/>
    <w:basedOn w:val="a0"/>
    <w:rsid w:val="00414584"/>
  </w:style>
  <w:style w:type="character" w:styleId="a8">
    <w:name w:val="Hyperlink"/>
    <w:basedOn w:val="a0"/>
    <w:uiPriority w:val="99"/>
    <w:unhideWhenUsed/>
    <w:rsid w:val="00414584"/>
    <w:rPr>
      <w:color w:val="0000FF"/>
      <w:u w:val="single"/>
    </w:rPr>
  </w:style>
  <w:style w:type="character" w:styleId="a9">
    <w:name w:val="Unresolved Mention"/>
    <w:basedOn w:val="a0"/>
    <w:uiPriority w:val="99"/>
    <w:semiHidden/>
    <w:unhideWhenUsed/>
    <w:rsid w:val="001A7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tek-dnem.com.ua/ua/service-center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4</Pages>
  <Words>8915</Words>
  <Characters>5083</Characters>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LinksUpToDate>false</LinksUpToDate>
  <CharactersWithSpaces>13971</CharactersWithSpaces>
  <SharedDoc>false</SharedDoc>
  <HyperlinksChanged>false</HyperlinksChanged>
</Properties>
</file>