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745" w:type="dxa"/>
        <w:tblInd w:w="6494" w:type="dxa"/>
        <w:tblLook w:val="04A0" w:firstRow="1" w:lastRow="0" w:firstColumn="1" w:lastColumn="0" w:noHBand="0" w:noVBand="1"/>
      </w:tblPr>
      <w:tblGrid>
        <w:gridCol w:w="3745"/>
      </w:tblGrid>
      <w:tr w14:paraId="668E5B21" w14:textId="77777777">
        <w:tc>
          <w:tcPr>
            <w:tcW w:w="3745" w:type="dxa"/>
            <w:shd w:val="clear" w:color="auto" w:fill="auto"/>
          </w:tcPr>
          <w:p w14:paraId="1A130408" w14:textId="7777777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Додаток 8</w:t>
            </w:r>
          </w:p>
        </w:tc>
      </w:tr>
      <w:tr w14:paraId="4552B19E" w14:textId="77777777">
        <w:tc>
          <w:tcPr>
            <w:tcW w:w="3745" w:type="dxa"/>
            <w:shd w:val="clear" w:color="auto" w:fill="auto"/>
          </w:tcPr>
          <w:p w14:paraId="7E4AF1FA" w14:textId="77777777">
            <w:pPr>
              <w:rPr>
                <w:lang w:val="uk-UA"/>
              </w:rPr>
            </w:pPr>
            <w:r>
              <w:rPr>
                <w:lang w:val="uk-UA"/>
              </w:rPr>
              <w:t xml:space="preserve">до Договору споживача про надання послуг з розподілу </w:t>
            </w:r>
            <w:r>
              <w:rPr>
                <w:lang w:val="uk-UA"/>
              </w:rPr>
              <w:t xml:space="preserve">(передачі) </w:t>
            </w:r>
            <w:r>
              <w:rPr>
                <w:lang w:val="uk-UA"/>
              </w:rPr>
              <w:t xml:space="preserve">електричної енергії </w:t>
            </w:r>
          </w:p>
          <w:p w14:paraId="1C3200BA" w14:textId="7777777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</w:tbl>
    <w:p w14:paraId="1074D045" w14:textId="77777777">
      <w:pPr>
        <w:ind w:left="5670"/>
        <w:rPr>
          <w:sz w:val="20"/>
          <w:szCs w:val="20"/>
          <w:lang w:val="uk-UA"/>
        </w:rPr>
      </w:pPr>
    </w:p>
    <w:p w14:paraId="6C66A0AF" w14:textId="77777777">
      <w:pPr>
        <w:ind w:firstLine="397"/>
        <w:jc w:val="center"/>
        <w:rPr>
          <w:b/>
          <w:sz w:val="22"/>
          <w:szCs w:val="22"/>
          <w:lang w:val="uk-UA"/>
        </w:rPr>
      </w:pPr>
    </w:p>
    <w:p w14:paraId="382F4D90" w14:textId="77777777">
      <w:pPr>
        <w:ind w:firstLine="397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ПОРЯДОК РОЗРАХУНКУ ВТРАТ</w:t>
      </w:r>
    </w:p>
    <w:p w14:paraId="09BF6E0C" w14:textId="77777777">
      <w:pPr>
        <w:ind w:firstLine="397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електроенергії в мережі споживача</w:t>
      </w:r>
    </w:p>
    <w:p w14:paraId="0FED88F2" w14:textId="77777777">
      <w:pPr>
        <w:ind w:firstLine="397"/>
        <w:jc w:val="both"/>
        <w:rPr>
          <w:b/>
          <w:sz w:val="20"/>
          <w:szCs w:val="20"/>
          <w:lang w:val="uk-UA"/>
        </w:rPr>
      </w:pPr>
    </w:p>
    <w:p w14:paraId="26AB6370" w14:textId="77777777">
      <w:pPr>
        <w:tabs>
          <w:tab w:val="left" w:pos="9781"/>
          <w:tab w:val="left" w:pos="9923"/>
        </w:tabs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Цей порядок складено відповідно до Правил роздрібного ринку електричної енергії</w:t>
      </w:r>
      <w:r>
        <w:rPr>
          <w:sz w:val="20"/>
          <w:szCs w:val="20"/>
          <w:lang w:val="uk-UA"/>
        </w:rPr>
        <w:t>,</w:t>
      </w:r>
      <w:r>
        <w:rPr>
          <w:lang w:val="uk-UA"/>
        </w:rPr>
        <w:t xml:space="preserve"> </w:t>
      </w:r>
      <w:r>
        <w:rPr>
          <w:sz w:val="20"/>
          <w:szCs w:val="20"/>
          <w:lang w:val="uk-UA"/>
        </w:rPr>
        <w:t>затверджених постановою НКРЕКП від 14.03.2018 №312</w:t>
      </w:r>
      <w:r>
        <w:rPr>
          <w:sz w:val="20"/>
          <w:szCs w:val="20"/>
          <w:lang w:val="uk-UA"/>
        </w:rPr>
        <w:t>, Кодексу комерційного обліку електричної енергії</w:t>
      </w:r>
      <w:r>
        <w:rPr>
          <w:sz w:val="20"/>
          <w:szCs w:val="20"/>
          <w:lang w:val="uk-UA"/>
        </w:rPr>
        <w:t>,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затвердженого постановою НКРЕКП від 14.03.2018 №311 </w:t>
      </w:r>
      <w:r>
        <w:rPr>
          <w:sz w:val="20"/>
          <w:szCs w:val="20"/>
          <w:lang w:val="uk-UA"/>
        </w:rPr>
        <w:t>та Методичних рекомендацій визначення технологічних в</w:t>
      </w:r>
      <w:r>
        <w:rPr>
          <w:sz w:val="20"/>
          <w:szCs w:val="20"/>
          <w:lang w:val="uk-UA"/>
        </w:rPr>
        <w:t>и</w:t>
      </w:r>
      <w:r>
        <w:rPr>
          <w:sz w:val="20"/>
          <w:szCs w:val="20"/>
          <w:lang w:val="uk-UA"/>
        </w:rPr>
        <w:t>трат електроенергії в трансформаторах і лініях електропередавання, затверджених наказом Міненерговугілля України від 21.06.2013 №399 (далі Методичні рекомендації).</w:t>
      </w:r>
    </w:p>
    <w:p w14:paraId="18128A05" w14:textId="0763679F">
      <w:pPr>
        <w:tabs>
          <w:tab w:val="left" w:pos="9781"/>
          <w:tab w:val="left" w:pos="9923"/>
        </w:tabs>
        <w:spacing w:line="216" w:lineRule="auto"/>
        <w:ind w:right="169" w:firstLine="567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1. </w:t>
      </w:r>
      <w:r>
        <w:rPr>
          <w:sz w:val="20"/>
          <w:szCs w:val="20"/>
          <w:lang w:val="uk-UA"/>
        </w:rPr>
        <w:t>Для розрахунку втрат використано дані, зазначені в Таблицях 1-</w:t>
      </w:r>
      <w:r>
        <w:rPr>
          <w:sz w:val="20"/>
          <w:szCs w:val="20"/>
          <w:lang w:val="uk-UA"/>
        </w:rPr>
        <w:t>5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продовження цього Додатка, Акті розмежування балансової належності електромереж та експлуатаційної відповідальності сторін та однолінійній схемі, що є додатками 6 та 7 до цього договору.</w:t>
      </w:r>
    </w:p>
    <w:p w14:paraId="1A459C7D" w14:textId="77777777">
      <w:pPr>
        <w:tabs>
          <w:tab w:val="left" w:pos="9923"/>
        </w:tabs>
        <w:spacing w:line="216" w:lineRule="auto"/>
        <w:ind w:right="169" w:firstLine="567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 Визначення втрат в елементах електричної мережі.</w:t>
      </w:r>
    </w:p>
    <w:p w14:paraId="7B912380" w14:textId="7834A1CD">
      <w:pPr>
        <w:tabs>
          <w:tab w:val="left" w:pos="3460"/>
          <w:tab w:val="left" w:pos="9923"/>
        </w:tabs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Таблиці з вихідними даними </w:t>
      </w:r>
      <w:r>
        <w:rPr>
          <w:sz w:val="20"/>
          <w:szCs w:val="20"/>
          <w:lang w:val="uk-UA"/>
        </w:rPr>
        <w:t>(Таблиця 1</w:t>
      </w:r>
      <w:r>
        <w:rPr>
          <w:sz w:val="20"/>
          <w:szCs w:val="20"/>
          <w:lang w:val="uk-UA"/>
        </w:rPr>
        <w:t>-</w:t>
      </w:r>
      <w:r>
        <w:rPr>
          <w:sz w:val="20"/>
          <w:szCs w:val="20"/>
          <w:lang w:val="uk-UA"/>
        </w:rPr>
        <w:t>5</w:t>
      </w:r>
      <w:r>
        <w:rPr>
          <w:sz w:val="20"/>
          <w:szCs w:val="20"/>
          <w:lang w:val="uk-UA"/>
        </w:rPr>
        <w:t xml:space="preserve"> Продовження Додатка </w:t>
      </w:r>
      <w:r>
        <w:rPr>
          <w:sz w:val="20"/>
          <w:szCs w:val="20"/>
          <w:lang w:val="uk-UA"/>
        </w:rPr>
        <w:t>8</w:t>
      </w:r>
      <w:r>
        <w:rPr>
          <w:sz w:val="20"/>
          <w:szCs w:val="20"/>
          <w:lang w:val="uk-UA"/>
        </w:rPr>
        <w:t xml:space="preserve">) </w:t>
      </w:r>
      <w:r>
        <w:rPr>
          <w:sz w:val="20"/>
          <w:szCs w:val="20"/>
          <w:lang w:val="uk-UA"/>
        </w:rPr>
        <w:t xml:space="preserve">для непобутових споживачів </w:t>
      </w:r>
      <w:r>
        <w:rPr>
          <w:sz w:val="20"/>
          <w:szCs w:val="20"/>
          <w:lang w:val="uk-UA"/>
        </w:rPr>
        <w:t>заповнюються у разі:</w:t>
      </w:r>
    </w:p>
    <w:p w14:paraId="0A0BD945" w14:textId="77777777">
      <w:pPr>
        <w:tabs>
          <w:tab w:val="left" w:pos="3460"/>
          <w:tab w:val="left" w:pos="9923"/>
        </w:tabs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- встановлення розрахункових засобів обліку Споживача не на межі балансової належності </w:t>
      </w:r>
      <w:r>
        <w:rPr>
          <w:sz w:val="20"/>
          <w:szCs w:val="20"/>
          <w:lang w:val="uk-UA"/>
        </w:rPr>
        <w:t xml:space="preserve">його </w:t>
      </w:r>
      <w:r>
        <w:rPr>
          <w:sz w:val="20"/>
          <w:szCs w:val="20"/>
          <w:lang w:val="uk-UA"/>
        </w:rPr>
        <w:t>електромереж;</w:t>
      </w:r>
    </w:p>
    <w:p w14:paraId="039AD19C" w14:textId="2502AD77">
      <w:pPr>
        <w:tabs>
          <w:tab w:val="left" w:pos="9923"/>
        </w:tabs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- використання технологічних електричних мереж Споживача для передачі електричної енергії субспоживачам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або для </w:t>
      </w:r>
      <w:r>
        <w:rPr>
          <w:sz w:val="20"/>
          <w:szCs w:val="20"/>
          <w:lang w:val="uk-UA"/>
        </w:rPr>
        <w:t xml:space="preserve">транспортування </w:t>
      </w:r>
      <w:r>
        <w:rPr>
          <w:sz w:val="20"/>
          <w:szCs w:val="20"/>
          <w:lang w:val="uk-UA"/>
        </w:rPr>
        <w:t>електричної енергії в мережі Оператора системи</w:t>
      </w:r>
      <w:r>
        <w:rPr>
          <w:sz w:val="20"/>
          <w:szCs w:val="20"/>
          <w:lang w:val="uk-UA"/>
        </w:rPr>
        <w:t xml:space="preserve"> розподілу</w:t>
      </w:r>
      <w:r>
        <w:rPr>
          <w:sz w:val="20"/>
          <w:szCs w:val="20"/>
          <w:lang w:val="uk-UA"/>
        </w:rPr>
        <w:t>,</w:t>
      </w:r>
      <w:r>
        <w:rPr>
          <w:sz w:val="20"/>
          <w:szCs w:val="20"/>
          <w:lang w:val="uk-UA"/>
        </w:rPr>
        <w:t xml:space="preserve"> (втрати спільного використання)</w:t>
      </w:r>
      <w:r>
        <w:rPr>
          <w:sz w:val="20"/>
          <w:szCs w:val="20"/>
          <w:lang w:val="uk-UA"/>
        </w:rPr>
        <w:t>;</w:t>
      </w:r>
    </w:p>
    <w:p w14:paraId="65680138" w14:textId="77777777">
      <w:pPr>
        <w:tabs>
          <w:tab w:val="left" w:pos="9923"/>
        </w:tabs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- якщо мережі інших власників, що використовуються для передачі електричної енергії Споживачу, </w:t>
      </w:r>
      <w:r>
        <w:rPr>
          <w:sz w:val="20"/>
          <w:szCs w:val="20"/>
          <w:lang w:val="uk-UA"/>
        </w:rPr>
        <w:t>с</w:t>
      </w:r>
      <w:r>
        <w:rPr>
          <w:sz w:val="20"/>
          <w:szCs w:val="20"/>
          <w:lang w:val="uk-UA"/>
        </w:rPr>
        <w:t xml:space="preserve">убспоживачу (до точки </w:t>
      </w:r>
      <w:r>
        <w:rPr>
          <w:sz w:val="20"/>
          <w:szCs w:val="20"/>
          <w:lang w:val="uk-UA"/>
        </w:rPr>
        <w:t>вимірювання</w:t>
      </w:r>
      <w:r>
        <w:rPr>
          <w:sz w:val="20"/>
          <w:szCs w:val="20"/>
          <w:lang w:val="uk-UA"/>
        </w:rPr>
        <w:t>) або в мережі Оператора системи</w:t>
      </w:r>
      <w:r>
        <w:rPr>
          <w:sz w:val="20"/>
          <w:szCs w:val="20"/>
          <w:lang w:val="uk-UA"/>
        </w:rPr>
        <w:t xml:space="preserve"> розподілу</w:t>
      </w:r>
      <w:r>
        <w:rPr>
          <w:sz w:val="20"/>
          <w:szCs w:val="20"/>
          <w:lang w:val="uk-UA"/>
        </w:rPr>
        <w:t>, знаходяться під обліком Споживача</w:t>
      </w:r>
      <w:r>
        <w:rPr>
          <w:sz w:val="20"/>
          <w:szCs w:val="20"/>
          <w:lang w:val="uk-UA"/>
        </w:rPr>
        <w:t xml:space="preserve"> (втрати тран</w:t>
      </w:r>
      <w:r>
        <w:rPr>
          <w:sz w:val="20"/>
          <w:szCs w:val="20"/>
          <w:lang w:val="uk-UA"/>
        </w:rPr>
        <w:t>спортування</w:t>
      </w:r>
      <w:r>
        <w:rPr>
          <w:sz w:val="20"/>
          <w:szCs w:val="20"/>
          <w:lang w:val="uk-UA"/>
        </w:rPr>
        <w:t>)</w:t>
      </w:r>
      <w:r>
        <w:rPr>
          <w:sz w:val="20"/>
          <w:szCs w:val="20"/>
          <w:lang w:val="uk-UA"/>
        </w:rPr>
        <w:t>.</w:t>
      </w:r>
    </w:p>
    <w:p w14:paraId="6203C058" w14:textId="77777777">
      <w:pPr>
        <w:tabs>
          <w:tab w:val="left" w:pos="9923"/>
        </w:tabs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Оператор системи</w:t>
      </w:r>
      <w:r>
        <w:rPr>
          <w:sz w:val="20"/>
          <w:szCs w:val="20"/>
          <w:lang w:val="uk-UA"/>
        </w:rPr>
        <w:t xml:space="preserve"> розподілу</w:t>
      </w:r>
      <w:r>
        <w:rPr>
          <w:sz w:val="20"/>
          <w:szCs w:val="20"/>
          <w:lang w:val="uk-UA"/>
        </w:rPr>
        <w:t xml:space="preserve"> визначає </w:t>
      </w:r>
      <w:r>
        <w:rPr>
          <w:color w:val="000000"/>
          <w:sz w:val="20"/>
          <w:szCs w:val="20"/>
          <w:lang w:val="uk-UA"/>
        </w:rPr>
        <w:t xml:space="preserve">розрахунковим шляхом обсяги </w:t>
      </w:r>
      <w:r>
        <w:rPr>
          <w:sz w:val="20"/>
          <w:szCs w:val="20"/>
          <w:lang w:val="uk-UA"/>
        </w:rPr>
        <w:t>втрат електричної енергії в технологічних електричних мережах Споживача автоматично щомісяця за даними споживання активної та реактивної електричної енергії згідно з пунктами Методичних рекомендацій, зазначеними в Розділах 2.1, 2.2, 2.3 цього додатка. Обсяги втрат електричної енергії додаються до (віднімаються від) обсягів, визначених за показами засобів обліку Споживача залежно від схеми приєднання засобів обліку.</w:t>
      </w:r>
    </w:p>
    <w:p w14:paraId="44F6EB9A" w14:textId="2C45B42C">
      <w:pPr>
        <w:tabs>
          <w:tab w:val="left" w:pos="3460"/>
          <w:tab w:val="left" w:pos="9923"/>
        </w:tabs>
        <w:ind w:right="169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Для побутових споживачів таблиці з вихідними даними (Таблиця 1-2 Продовження Додатка 8) заповнюються у разі, якщо у власності споживача перебувають електричні мережі напругою </w:t>
      </w:r>
      <w:r>
        <w:rPr>
          <w:sz w:val="20"/>
          <w:szCs w:val="20"/>
          <w:lang w:val="uk-UA"/>
        </w:rPr>
        <w:t xml:space="preserve">1 </w:t>
      </w:r>
      <w:r>
        <w:rPr>
          <w:sz w:val="20"/>
          <w:szCs w:val="20"/>
          <w:lang w:val="uk-UA"/>
        </w:rPr>
        <w:t>кВ</w:t>
      </w:r>
      <w:r>
        <w:rPr>
          <w:sz w:val="20"/>
          <w:szCs w:val="20"/>
          <w:lang w:val="uk-UA"/>
        </w:rPr>
        <w:t xml:space="preserve"> та </w:t>
      </w:r>
      <w:r>
        <w:rPr>
          <w:sz w:val="20"/>
          <w:szCs w:val="20"/>
          <w:lang w:val="uk-UA"/>
        </w:rPr>
        <w:t>вище</w:t>
      </w:r>
      <w:r>
        <w:rPr>
          <w:sz w:val="20"/>
          <w:szCs w:val="20"/>
          <w:lang w:val="uk-UA"/>
        </w:rPr>
        <w:t>, а прилад обліку встановлений не на межі розподілу електромереж.</w:t>
      </w:r>
    </w:p>
    <w:p w14:paraId="4FB9418B" w14:textId="77777777">
      <w:pPr>
        <w:tabs>
          <w:tab w:val="left" w:pos="9923"/>
        </w:tabs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Втрати електричної енергії на ділянці електромережі від межі розподілу до місця встановлення приладу обліку відносяться на рахунок власника зазначеної ділянки електромережі.</w:t>
      </w:r>
    </w:p>
    <w:p w14:paraId="11146018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55B73017" w14:textId="77777777">
      <w:pPr>
        <w:spacing w:line="216" w:lineRule="auto"/>
        <w:ind w:right="169" w:firstLine="567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.1. Розрахунок втрат електроенергії в трансформаторах</w:t>
      </w:r>
      <w:r>
        <w:rPr>
          <w:b/>
          <w:sz w:val="20"/>
          <w:szCs w:val="20"/>
          <w:lang w:val="uk-UA"/>
        </w:rPr>
        <w:t xml:space="preserve"> і автотрансформаторах</w:t>
      </w:r>
      <w:r>
        <w:rPr>
          <w:b/>
          <w:sz w:val="20"/>
          <w:szCs w:val="20"/>
          <w:lang w:val="uk-UA"/>
        </w:rPr>
        <w:t xml:space="preserve"> </w:t>
      </w:r>
    </w:p>
    <w:p w14:paraId="6FBCC51C" w14:textId="3D33027D">
      <w:pPr>
        <w:spacing w:line="216" w:lineRule="auto"/>
        <w:ind w:right="169" w:firstLine="567"/>
        <w:jc w:val="both"/>
        <w:rPr>
          <w:b/>
          <w:i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.1.1</w:t>
      </w:r>
      <w:r>
        <w:rPr>
          <w:sz w:val="20"/>
          <w:szCs w:val="20"/>
          <w:lang w:val="uk-UA"/>
        </w:rPr>
        <w:t xml:space="preserve"> Для рівня інформаційного забезпечення А втрати визначаються згідно з п.7.1 Методичних рекомендацій за формулами:</w:t>
      </w:r>
    </w:p>
    <w:p w14:paraId="37E2AC72" w14:textId="77777777">
      <w:pPr>
        <w:pStyle w:val="ac"/>
        <w:spacing w:before="0" w:beforeAutospacing="0" w:after="0" w:afterAutospacing="0" w:line="216" w:lineRule="auto"/>
        <w:ind w:firstLine="284"/>
        <w:jc w:val="center"/>
        <w:rPr>
          <w:position w:val="-12"/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4160" w:dyaOrig="400" w14:anchorId="25E904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21.75pt" o:ole="">
            <v:imagedata r:id="rId10" o:title=""/>
          </v:shape>
          <o:OLEObject Type="Embed" ProgID="Equation.3" ShapeID="_x0000_i1025" DrawAspect="Content" ObjectID="_1643102396" r:id="rId11"/>
        </w:object>
      </w:r>
      <w:r>
        <w:rPr>
          <w:position w:val="-12"/>
          <w:sz w:val="20"/>
          <w:szCs w:val="20"/>
          <w:vertAlign w:val="superscript"/>
          <w:lang w:val="uk-UA"/>
        </w:rPr>
        <w:t xml:space="preserve"> </w:t>
      </w:r>
      <w:r>
        <w:rPr>
          <w:sz w:val="20"/>
          <w:szCs w:val="20"/>
          <w:lang w:val="uk-UA"/>
        </w:rPr>
        <w:t>(кВт·год)</w:t>
      </w:r>
    </w:p>
    <w:p w14:paraId="0DFE7333" w14:textId="77777777">
      <w:pPr>
        <w:pStyle w:val="ac"/>
        <w:spacing w:before="0" w:beforeAutospacing="0" w:after="0" w:afterAutospacing="0" w:line="216" w:lineRule="auto"/>
        <w:ind w:firstLine="284"/>
        <w:jc w:val="center"/>
        <w:rPr>
          <w:position w:val="-12"/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4120" w:dyaOrig="400" w14:anchorId="775B19B7">
          <v:shape id="_x0000_i1026" type="#_x0000_t75" style="width:228pt;height:23.25pt" o:ole="">
            <v:imagedata r:id="rId12" o:title=""/>
          </v:shape>
          <o:OLEObject Type="Embed" ProgID="Equation.3" ShapeID="_x0000_i1026" DrawAspect="Content" ObjectID="_1643102397" r:id="rId13"/>
        </w:object>
      </w:r>
      <w:r>
        <w:rPr>
          <w:position w:val="-12"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(кВАр·год)</w:t>
      </w:r>
    </w:p>
    <w:p w14:paraId="75962093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position w:val="-14"/>
          <w:sz w:val="20"/>
          <w:szCs w:val="20"/>
          <w:lang w:val="uk-UA"/>
        </w:rPr>
        <w:object w:dxaOrig="260" w:dyaOrig="400" w14:anchorId="7CF67F0F">
          <v:shape id="_x0000_i1027" type="#_x0000_t75" style="width:12pt;height:18pt" o:ole="">
            <v:imagedata r:id="rId14" o:title=""/>
          </v:shape>
          <o:OLEObject Type="Embed" ProgID="Equation.3" ShapeID="_x0000_i1027" DrawAspect="Content" ObjectID="_1643102398" r:id="rId15"/>
        </w:object>
      </w:r>
      <w:r>
        <w:rPr>
          <w:sz w:val="20"/>
          <w:szCs w:val="20"/>
          <w:lang w:val="uk-UA"/>
        </w:rPr>
        <w:t>– середнє протягом розрахункового періоду діюче значення сили струму трансформатора, А;</w:t>
      </w:r>
    </w:p>
    <w:p w14:paraId="1B6C9852" w14:textId="77777777">
      <w:pPr>
        <w:tabs>
          <w:tab w:val="left" w:pos="993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i/>
          <w:position w:val="-10"/>
          <w:sz w:val="20"/>
          <w:szCs w:val="20"/>
          <w:lang w:val="uk-UA"/>
        </w:rPr>
        <w:object w:dxaOrig="279" w:dyaOrig="340" w14:anchorId="17754CC6">
          <v:shape id="_x0000_i1028" type="#_x0000_t75" style="width:18pt;height:18.75pt" o:ole="">
            <v:imagedata r:id="rId16" o:title=""/>
          </v:shape>
          <o:OLEObject Type="Embed" ProgID="Equation.3" ShapeID="_x0000_i1028" DrawAspect="Content" ObjectID="_1643102399" r:id="rId17"/>
        </w:object>
      </w:r>
      <w:r>
        <w:rPr>
          <w:sz w:val="20"/>
          <w:szCs w:val="20"/>
          <w:lang w:val="uk-UA"/>
        </w:rPr>
        <w:t xml:space="preserve"> – коефіцієнт форми графіка навантаження </w:t>
      </w:r>
      <w:r>
        <w:rPr>
          <w:bCs/>
          <w:sz w:val="20"/>
          <w:szCs w:val="20"/>
          <w:lang w:val="uk-UA"/>
        </w:rPr>
        <w:t>трансформатора</w:t>
      </w:r>
      <w:r>
        <w:rPr>
          <w:sz w:val="20"/>
          <w:szCs w:val="20"/>
          <w:lang w:val="uk-UA"/>
        </w:rPr>
        <w:t>;</w:t>
      </w:r>
    </w:p>
    <w:p w14:paraId="301C5170" w14:textId="77777777">
      <w:pPr>
        <w:tabs>
          <w:tab w:val="left" w:pos="993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i/>
          <w:position w:val="-10"/>
          <w:sz w:val="20"/>
          <w:szCs w:val="20"/>
          <w:lang w:val="uk-UA"/>
        </w:rPr>
        <w:object w:dxaOrig="320" w:dyaOrig="340" w14:anchorId="0A0F182E">
          <v:shape id="_x0000_i1029" type="#_x0000_t75" style="width:18.75pt;height:19.5pt" o:ole="">
            <v:imagedata r:id="rId18" o:title=""/>
          </v:shape>
          <o:OLEObject Type="Embed" ProgID="Equation.3" ShapeID="_x0000_i1029" DrawAspect="Content" ObjectID="_1643102400" r:id="rId19"/>
        </w:object>
      </w:r>
      <w:r>
        <w:rPr>
          <w:sz w:val="20"/>
          <w:szCs w:val="20"/>
          <w:lang w:val="uk-UA"/>
        </w:rPr>
        <w:t xml:space="preserve">– активний опір </w:t>
      </w:r>
      <w:r>
        <w:rPr>
          <w:bCs/>
          <w:sz w:val="20"/>
          <w:szCs w:val="20"/>
          <w:lang w:val="uk-UA"/>
        </w:rPr>
        <w:t>трансформатора</w:t>
      </w:r>
      <w:r>
        <w:rPr>
          <w:sz w:val="20"/>
          <w:szCs w:val="20"/>
          <w:lang w:val="uk-UA"/>
        </w:rPr>
        <w:t>, Ом.;</w:t>
      </w:r>
    </w:p>
    <w:p w14:paraId="496D12C0" w14:textId="77777777">
      <w:pPr>
        <w:tabs>
          <w:tab w:val="left" w:pos="709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i/>
          <w:position w:val="-12"/>
          <w:sz w:val="20"/>
          <w:szCs w:val="20"/>
          <w:lang w:val="uk-UA"/>
        </w:rPr>
        <w:object w:dxaOrig="520" w:dyaOrig="360" w14:anchorId="001F64CC">
          <v:shape id="_x0000_i1030" type="#_x0000_t75" style="width:29.25pt;height:19.5pt" o:ole="">
            <v:imagedata r:id="rId20" o:title=""/>
          </v:shape>
          <o:OLEObject Type="Embed" ProgID="Equation.3" ShapeID="_x0000_i1030" DrawAspect="Content" ObjectID="_1643102401" r:id="rId21"/>
        </w:object>
      </w:r>
      <w:r>
        <w:rPr>
          <w:sz w:val="20"/>
          <w:szCs w:val="20"/>
          <w:lang w:val="uk-UA"/>
        </w:rPr>
        <w:t>- втрати неробочого ходу трансформатора, кВт;</w:t>
      </w:r>
    </w:p>
    <w:p w14:paraId="78751A27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i/>
          <w:position w:val="-10"/>
          <w:sz w:val="20"/>
          <w:szCs w:val="20"/>
          <w:lang w:val="uk-UA"/>
        </w:rPr>
        <w:object w:dxaOrig="360" w:dyaOrig="340" w14:anchorId="4F6A8F8B">
          <v:shape id="_x0000_i1031" type="#_x0000_t75" style="width:19.5pt;height:18.75pt" o:ole="">
            <v:imagedata r:id="rId22" o:title=""/>
          </v:shape>
          <o:OLEObject Type="Embed" ProgID="Equation.3" ShapeID="_x0000_i1031" DrawAspect="Content" ObjectID="_1643102402" r:id="rId23"/>
        </w:object>
      </w:r>
      <w:r>
        <w:rPr>
          <w:sz w:val="20"/>
          <w:szCs w:val="20"/>
          <w:lang w:val="uk-UA"/>
        </w:rPr>
        <w:t xml:space="preserve">– реактивний опір </w:t>
      </w:r>
      <w:r>
        <w:rPr>
          <w:bCs/>
          <w:sz w:val="20"/>
          <w:szCs w:val="20"/>
          <w:lang w:val="uk-UA"/>
        </w:rPr>
        <w:t>трансформатора</w:t>
      </w:r>
      <w:r>
        <w:rPr>
          <w:sz w:val="20"/>
          <w:szCs w:val="20"/>
          <w:lang w:val="uk-UA"/>
        </w:rPr>
        <w:t>, Ом;</w:t>
      </w:r>
    </w:p>
    <w:p w14:paraId="3F79322B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i/>
          <w:position w:val="-12"/>
          <w:sz w:val="20"/>
          <w:szCs w:val="20"/>
          <w:lang w:val="uk-UA"/>
        </w:rPr>
        <w:object w:dxaOrig="560" w:dyaOrig="360" w14:anchorId="4611B27F">
          <v:shape id="_x0000_i1032" type="#_x0000_t75" style="width:29.25pt;height:18.75pt" o:ole="">
            <v:imagedata r:id="rId24" o:title=""/>
          </v:shape>
          <o:OLEObject Type="Embed" ProgID="Equation.3" ShapeID="_x0000_i1032" DrawAspect="Content" ObjectID="_1643102403" r:id="rId25"/>
        </w:object>
      </w:r>
      <w:r>
        <w:rPr>
          <w:sz w:val="20"/>
          <w:szCs w:val="20"/>
          <w:lang w:val="uk-UA"/>
        </w:rPr>
        <w:t xml:space="preserve">– </w:t>
      </w:r>
      <w:r>
        <w:rPr>
          <w:sz w:val="20"/>
          <w:szCs w:val="20"/>
          <w:lang w:val="uk-UA" w:eastAsia="uk-UA"/>
        </w:rPr>
        <w:t>реактивна потужність втрат неробочого  ходу трансформатора</w:t>
      </w:r>
      <w:r>
        <w:rPr>
          <w:sz w:val="20"/>
          <w:szCs w:val="20"/>
          <w:lang w:val="uk-UA"/>
        </w:rPr>
        <w:t>, кВАр;</w:t>
      </w:r>
    </w:p>
    <w:p w14:paraId="278679F5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i/>
          <w:position w:val="-10"/>
          <w:sz w:val="20"/>
          <w:szCs w:val="20"/>
          <w:lang w:val="uk-UA"/>
        </w:rPr>
        <w:object w:dxaOrig="279" w:dyaOrig="340" w14:anchorId="2FF982B0">
          <v:shape id="_x0000_i1033" type="#_x0000_t75" style="width:18pt;height:19.5pt" o:ole="">
            <v:imagedata r:id="rId26" o:title=""/>
          </v:shape>
          <o:OLEObject Type="Embed" ProgID="Equation.3" ShapeID="_x0000_i1033" DrawAspect="Content" ObjectID="_1643102404" r:id="rId27"/>
        </w:object>
      </w:r>
      <w:r>
        <w:rPr>
          <w:sz w:val="20"/>
          <w:szCs w:val="20"/>
          <w:lang w:val="uk-UA"/>
        </w:rPr>
        <w:t xml:space="preserve"> – час роботи трансформатора під навантаженням протягом розрахункового періоду, години;</w:t>
      </w:r>
    </w:p>
    <w:p w14:paraId="6D0179C7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position w:val="-10"/>
          <w:sz w:val="20"/>
          <w:szCs w:val="20"/>
          <w:lang w:val="uk-UA"/>
        </w:rPr>
        <w:object w:dxaOrig="320" w:dyaOrig="340" w14:anchorId="12175788">
          <v:shape id="_x0000_i1034" type="#_x0000_t75" style="width:18pt;height:19.5pt" o:ole="">
            <v:imagedata r:id="rId28" o:title=""/>
          </v:shape>
          <o:OLEObject Type="Embed" ProgID="Equation.3" ShapeID="_x0000_i1034" DrawAspect="Content" ObjectID="_1643102405" r:id="rId29"/>
        </w:object>
      </w:r>
      <w:r>
        <w:rPr>
          <w:sz w:val="20"/>
          <w:szCs w:val="20"/>
          <w:lang w:val="uk-UA"/>
        </w:rPr>
        <w:t xml:space="preserve"> – час находження трансформатора під напругою протягом розрахункового періоду, години.</w:t>
      </w:r>
    </w:p>
    <w:p w14:paraId="6CA9B5F6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45B68325" w14:textId="01FA5C39">
      <w:pPr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.1.2.</w:t>
      </w:r>
      <w:r>
        <w:rPr>
          <w:sz w:val="20"/>
          <w:szCs w:val="20"/>
          <w:lang w:val="uk-UA"/>
        </w:rPr>
        <w:t xml:space="preserve"> Для рівня інформаційного забезпечення Б втрати визначаються згідно з п.7.3 Методичних рекомендацій.</w:t>
      </w:r>
    </w:p>
    <w:p w14:paraId="05D2081F" w14:textId="77777777">
      <w:pPr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.1.3.</w:t>
      </w:r>
      <w:r>
        <w:rPr>
          <w:sz w:val="20"/>
          <w:szCs w:val="20"/>
          <w:lang w:val="uk-UA"/>
        </w:rPr>
        <w:t xml:space="preserve"> Вихідні дані д</w:t>
      </w:r>
      <w:r>
        <w:rPr>
          <w:sz w:val="20"/>
          <w:szCs w:val="20"/>
          <w:lang w:val="uk-UA"/>
        </w:rPr>
        <w:t>ля розрахунку втрат наведені в Т</w:t>
      </w:r>
      <w:r>
        <w:rPr>
          <w:sz w:val="20"/>
          <w:szCs w:val="20"/>
          <w:lang w:val="uk-UA"/>
        </w:rPr>
        <w:t>аблиці 1</w:t>
      </w:r>
      <w:r>
        <w:rPr>
          <w:sz w:val="20"/>
          <w:szCs w:val="20"/>
          <w:lang w:val="uk-UA"/>
        </w:rPr>
        <w:t xml:space="preserve"> Продовження Додатка </w:t>
      </w:r>
      <w:r>
        <w:rPr>
          <w:sz w:val="20"/>
          <w:szCs w:val="20"/>
          <w:lang w:val="uk-UA"/>
        </w:rPr>
        <w:t>8</w:t>
      </w:r>
      <w:r>
        <w:rPr>
          <w:sz w:val="20"/>
          <w:szCs w:val="20"/>
          <w:lang w:val="uk-UA"/>
        </w:rPr>
        <w:t>.</w:t>
      </w:r>
    </w:p>
    <w:p w14:paraId="658E5365" w14:textId="77777777">
      <w:pPr>
        <w:spacing w:line="216" w:lineRule="auto"/>
        <w:ind w:right="169" w:firstLine="567"/>
        <w:jc w:val="both"/>
        <w:rPr>
          <w:b/>
          <w:sz w:val="20"/>
          <w:szCs w:val="20"/>
          <w:lang w:val="uk-UA"/>
        </w:rPr>
      </w:pPr>
    </w:p>
    <w:p w14:paraId="20222422" w14:textId="77777777">
      <w:pPr>
        <w:spacing w:line="216" w:lineRule="auto"/>
        <w:ind w:right="169" w:firstLine="567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2.2. Розрахунок втрат в лініях електропередавання (ЛЕП).</w:t>
      </w:r>
    </w:p>
    <w:p w14:paraId="58D0E90B" w14:textId="7CB0B2CC">
      <w:pPr>
        <w:spacing w:line="216" w:lineRule="auto"/>
        <w:ind w:right="169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2.2.1. </w:t>
      </w:r>
      <w:r>
        <w:rPr>
          <w:sz w:val="20"/>
          <w:szCs w:val="20"/>
          <w:lang w:val="uk-UA"/>
        </w:rPr>
        <w:t>Для рівня інформаційного забезпечення А втрати визначаються відповідно до п.7.2, 7.5, 7.6 Методичних рекомендацій за формулами.</w:t>
      </w:r>
    </w:p>
    <w:p w14:paraId="618929C7" w14:textId="77777777">
      <w:pPr>
        <w:spacing w:line="216" w:lineRule="auto"/>
        <w:ind w:right="169" w:firstLine="567"/>
        <w:jc w:val="both"/>
        <w:rPr>
          <w:i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2.2.1.1.</w:t>
      </w:r>
      <w:r>
        <w:rPr>
          <w:bCs/>
          <w:i/>
          <w:lang w:val="uk-UA"/>
        </w:rPr>
        <w:t xml:space="preserve"> </w:t>
      </w:r>
      <w:r>
        <w:rPr>
          <w:bCs/>
          <w:sz w:val="20"/>
          <w:szCs w:val="20"/>
          <w:lang w:val="uk-UA"/>
        </w:rPr>
        <w:t>В</w:t>
      </w:r>
      <w:r>
        <w:rPr>
          <w:sz w:val="20"/>
          <w:szCs w:val="20"/>
          <w:lang w:val="uk-UA"/>
        </w:rPr>
        <w:t>трати активної енергії у кВт·год в проводах (ПЛ) або жилах кабелів (КЛ) розраховують за формулою:</w:t>
      </w:r>
    </w:p>
    <w:p w14:paraId="6614AEE0" w14:textId="77777777">
      <w:pPr>
        <w:spacing w:line="216" w:lineRule="auto"/>
        <w:ind w:firstLine="284"/>
        <w:jc w:val="center"/>
        <w:rPr>
          <w:sz w:val="20"/>
          <w:szCs w:val="20"/>
          <w:lang w:val="uk-UA"/>
        </w:rPr>
      </w:pPr>
      <w:r>
        <w:rPr>
          <w:position w:val="-10"/>
          <w:sz w:val="20"/>
          <w:szCs w:val="20"/>
          <w:lang w:val="uk-UA"/>
        </w:rPr>
        <w:object w:dxaOrig="3159" w:dyaOrig="380" w14:anchorId="2485BBB9">
          <v:shape id="_x0000_i1035" type="#_x0000_t75" style="width:179.25pt;height:21.75pt" o:ole="">
            <v:imagedata r:id="rId30" o:title=""/>
          </v:shape>
          <o:OLEObject Type="Embed" ProgID="Equation.3" ShapeID="_x0000_i1035" DrawAspect="Content" ObjectID="_1643102406" r:id="rId31"/>
        </w:object>
      </w:r>
    </w:p>
    <w:p w14:paraId="4285C3AE" w14:textId="77777777">
      <w:pPr>
        <w:spacing w:line="216" w:lineRule="auto"/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i/>
          <w:position w:val="-6"/>
          <w:sz w:val="20"/>
          <w:szCs w:val="20"/>
          <w:lang w:val="uk-UA"/>
        </w:rPr>
        <w:object w:dxaOrig="220" w:dyaOrig="240" w14:anchorId="397F6E57">
          <v:shape id="_x0000_i1036" type="#_x0000_t75" style="width:10.5pt;height:12pt" o:ole="">
            <v:imagedata r:id="rId32" o:title=""/>
          </v:shape>
          <o:OLEObject Type="Embed" ProgID="Equation.3" ShapeID="_x0000_i1036" DrawAspect="Content" ObjectID="_1643102407" r:id="rId33"/>
        </w:object>
      </w:r>
      <w:r>
        <w:rPr>
          <w:sz w:val="20"/>
          <w:szCs w:val="20"/>
          <w:lang w:val="uk-UA"/>
        </w:rPr>
        <w:t>- коефіцієнт, що дорівнює 3 для трифазної мережі і 2 для однофазної мережі;</w:t>
      </w:r>
    </w:p>
    <w:p w14:paraId="20B0D12A" w14:textId="77777777">
      <w:pPr>
        <w:spacing w:line="216" w:lineRule="auto"/>
        <w:ind w:left="851" w:right="-396" w:firstLine="283"/>
        <w:jc w:val="both"/>
        <w:rPr>
          <w:sz w:val="20"/>
          <w:szCs w:val="20"/>
          <w:lang w:val="uk-UA"/>
        </w:rPr>
      </w:pPr>
      <w:r>
        <w:rPr>
          <w:position w:val="-14"/>
          <w:sz w:val="20"/>
          <w:szCs w:val="20"/>
          <w:lang w:val="uk-UA"/>
        </w:rPr>
        <w:object w:dxaOrig="279" w:dyaOrig="400" w14:anchorId="68B8DA0B">
          <v:shape id="_x0000_i1037" type="#_x0000_t75" style="width:18pt;height:23.25pt" o:ole="">
            <v:imagedata r:id="rId34" o:title=""/>
          </v:shape>
          <o:OLEObject Type="Embed" ProgID="Equation.3" ShapeID="_x0000_i1037" DrawAspect="Content" ObjectID="_1643102408" r:id="rId35"/>
        </w:object>
      </w:r>
      <w:r>
        <w:rPr>
          <w:sz w:val="20"/>
          <w:szCs w:val="20"/>
          <w:lang w:val="uk-UA"/>
        </w:rPr>
        <w:t xml:space="preserve">– середнє протягом розрахункового періоду діюче значення сили струму ЛЕП, </w:t>
      </w:r>
      <w:r>
        <w:rPr>
          <w:sz w:val="20"/>
          <w:szCs w:val="20"/>
          <w:lang w:val="uk-UA"/>
        </w:rPr>
        <w:t xml:space="preserve">квадрат якого обчислюється за формулою 7.3 Методичнихрекомендацій, </w:t>
      </w:r>
      <w:r>
        <w:rPr>
          <w:sz w:val="20"/>
          <w:szCs w:val="20"/>
          <w:lang w:val="uk-UA"/>
        </w:rPr>
        <w:t xml:space="preserve">А;  </w:t>
      </w:r>
    </w:p>
    <w:p w14:paraId="3A5501C3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i/>
          <w:position w:val="-28"/>
          <w:sz w:val="20"/>
          <w:szCs w:val="20"/>
          <w:lang w:val="uk-UA"/>
        </w:rPr>
        <w:object w:dxaOrig="1579" w:dyaOrig="680" w14:anchorId="1691BB0E">
          <v:shape id="_x0000_i1038" type="#_x0000_t75" style="width:84pt;height:37.5pt" o:ole="">
            <v:imagedata r:id="rId36" o:title=""/>
          </v:shape>
          <o:OLEObject Type="Embed" ProgID="Equation.3" ShapeID="_x0000_i1038" DrawAspect="Content" ObjectID="_1643102409" r:id="rId37"/>
        </w:object>
      </w:r>
      <w:r>
        <w:rPr>
          <w:sz w:val="20"/>
          <w:szCs w:val="20"/>
          <w:lang w:val="uk-UA"/>
        </w:rPr>
        <w:t>– еквівалентний активний опір фази ЛЕП, Ом;</w:t>
      </w:r>
    </w:p>
    <w:p w14:paraId="6A3176F2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460" w:dyaOrig="360" w14:anchorId="6FC1C081">
          <v:shape id="_x0000_i1039" type="#_x0000_t75" style="width:27.75pt;height:19.5pt" o:ole="">
            <v:imagedata r:id="rId38" o:title=""/>
          </v:shape>
          <o:OLEObject Type="Embed" ProgID="Equation.3" ShapeID="_x0000_i1039" DrawAspect="Content" ObjectID="_1643102410" r:id="rId39"/>
        </w:object>
      </w:r>
      <w:r>
        <w:rPr>
          <w:sz w:val="20"/>
          <w:szCs w:val="20"/>
          <w:lang w:val="uk-UA"/>
        </w:rPr>
        <w:t xml:space="preserve"> – питомий опір фази </w:t>
      </w:r>
      <w:r>
        <w:rPr>
          <w:i/>
          <w:sz w:val="20"/>
          <w:szCs w:val="20"/>
          <w:lang w:val="uk-UA"/>
        </w:rPr>
        <w:t>m</w:t>
      </w:r>
      <w:r>
        <w:rPr>
          <w:sz w:val="20"/>
          <w:szCs w:val="20"/>
          <w:lang w:val="uk-UA"/>
        </w:rPr>
        <w:t>-тої ділянки ЛЕП із однаковим перерізом проводу (кабелю), Ом/км;</w:t>
      </w:r>
    </w:p>
    <w:p w14:paraId="06AD0B58" w14:textId="77777777">
      <w:pPr>
        <w:spacing w:line="216" w:lineRule="auto"/>
        <w:ind w:left="851" w:right="-396" w:firstLine="283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300" w:dyaOrig="360" w14:anchorId="77030C72">
          <v:shape id="_x0000_i1040" type="#_x0000_t75" style="width:18pt;height:19.5pt" o:ole="">
            <v:imagedata r:id="rId40" o:title=""/>
          </v:shape>
          <o:OLEObject Type="Embed" ProgID="Equation.3" ShapeID="_x0000_i1040" DrawAspect="Content" ObjectID="_1643102411" r:id="rId41"/>
        </w:object>
      </w:r>
      <w:r>
        <w:rPr>
          <w:sz w:val="20"/>
          <w:szCs w:val="20"/>
          <w:lang w:val="uk-UA"/>
        </w:rPr>
        <w:t xml:space="preserve"> – довжина </w:t>
      </w:r>
      <w:r>
        <w:rPr>
          <w:i/>
          <w:sz w:val="20"/>
          <w:szCs w:val="20"/>
          <w:lang w:val="uk-UA"/>
        </w:rPr>
        <w:t>m</w:t>
      </w:r>
      <w:r>
        <w:rPr>
          <w:sz w:val="20"/>
          <w:szCs w:val="20"/>
          <w:lang w:val="uk-UA"/>
        </w:rPr>
        <w:t>-тої ділянки ЛЕП із однаковим перерізом проводу (кабелю) з урахуванням його провисання, укладання «змійкою» тощо, км;</w:t>
      </w:r>
    </w:p>
    <w:p w14:paraId="3798D1E3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position w:val="-6"/>
          <w:sz w:val="20"/>
          <w:szCs w:val="20"/>
          <w:lang w:val="uk-UA"/>
        </w:rPr>
        <w:object w:dxaOrig="200" w:dyaOrig="220" w14:anchorId="4B016DB8">
          <v:shape id="_x0000_i1041" type="#_x0000_t75" style="width:10.5pt;height:12.75pt" o:ole="">
            <v:imagedata r:id="rId42" o:title=""/>
          </v:shape>
          <o:OLEObject Type="Embed" ProgID="Equation.3" ShapeID="_x0000_i1041" DrawAspect="Content" ObjectID="_1643102412" r:id="rId43"/>
        </w:object>
      </w:r>
      <w:r>
        <w:rPr>
          <w:position w:val="-6"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– кількість ділянок ЛЕП із однаковим перерізом проводу (кабелю);</w:t>
      </w:r>
    </w:p>
    <w:p w14:paraId="7CB8BDAA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i/>
          <w:position w:val="-18"/>
          <w:sz w:val="20"/>
          <w:szCs w:val="20"/>
          <w:lang w:val="uk-UA"/>
        </w:rPr>
        <w:object w:dxaOrig="340" w:dyaOrig="440" w14:anchorId="10DB12E0">
          <v:shape id="_x0000_i1042" type="#_x0000_t75" style="width:19.5pt;height:25.5pt" o:ole="">
            <v:imagedata r:id="rId44" o:title=""/>
          </v:shape>
          <o:OLEObject Type="Embed" ProgID="Equation.3" ShapeID="_x0000_i1042" DrawAspect="Content" ObjectID="_1643102413" r:id="rId45"/>
        </w:object>
      </w:r>
      <w:r>
        <w:rPr>
          <w:sz w:val="20"/>
          <w:szCs w:val="20"/>
          <w:lang w:val="uk-UA"/>
        </w:rPr>
        <w:t xml:space="preserve"> – коефіцієнт форми графіка навантаження ЛЕП;</w:t>
      </w:r>
    </w:p>
    <w:p w14:paraId="5651188B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i/>
          <w:position w:val="-10"/>
          <w:sz w:val="20"/>
          <w:szCs w:val="20"/>
          <w:lang w:val="uk-UA"/>
        </w:rPr>
        <w:object w:dxaOrig="279" w:dyaOrig="340" w14:anchorId="3F6FC57C">
          <v:shape id="_x0000_i1043" type="#_x0000_t75" style="width:18pt;height:19.5pt" o:ole="">
            <v:imagedata r:id="rId26" o:title=""/>
          </v:shape>
          <o:OLEObject Type="Embed" ProgID="Equation.3" ShapeID="_x0000_i1043" DrawAspect="Content" ObjectID="_1643102414" r:id="rId46"/>
        </w:object>
      </w:r>
      <w:r>
        <w:rPr>
          <w:sz w:val="20"/>
          <w:szCs w:val="20"/>
          <w:lang w:val="uk-UA"/>
        </w:rPr>
        <w:t xml:space="preserve"> – час роботи ЛЕП під навантаженням протягом розрахункового періоду, години.</w:t>
      </w:r>
    </w:p>
    <w:p w14:paraId="00277B05" w14:textId="77777777">
      <w:pPr>
        <w:spacing w:line="216" w:lineRule="auto"/>
        <w:ind w:firstLine="1418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2.2.1.2.</w:t>
      </w:r>
      <w:r>
        <w:rPr>
          <w:sz w:val="20"/>
          <w:szCs w:val="20"/>
          <w:lang w:val="uk-UA"/>
        </w:rPr>
        <w:t xml:space="preserve"> Втрати реактивної енергії у кВАр·год в ЛЕП розраховують за формулою:</w:t>
      </w:r>
    </w:p>
    <w:p w14:paraId="05A71F39" w14:textId="77777777">
      <w:pPr>
        <w:pStyle w:val="ac"/>
        <w:spacing w:before="0" w:beforeAutospacing="0" w:after="0" w:afterAutospacing="0" w:line="216" w:lineRule="auto"/>
        <w:ind w:left="851" w:right="-681" w:firstLine="283"/>
        <w:jc w:val="center"/>
        <w:rPr>
          <w:position w:val="-12"/>
          <w:sz w:val="20"/>
          <w:szCs w:val="20"/>
          <w:lang w:val="uk-UA"/>
        </w:rPr>
      </w:pPr>
      <w:r>
        <w:rPr>
          <w:position w:val="-28"/>
          <w:sz w:val="20"/>
          <w:szCs w:val="20"/>
          <w:lang w:val="uk-UA"/>
        </w:rPr>
        <w:object w:dxaOrig="5040" w:dyaOrig="560" w14:anchorId="3DF80309">
          <v:shape id="_x0000_i1044" type="#_x0000_t75" style="width:273.75pt;height:30.75pt" o:ole="">
            <v:imagedata r:id="rId47" o:title=""/>
          </v:shape>
          <o:OLEObject Type="Embed" ProgID="Equation.3" ShapeID="_x0000_i1044" DrawAspect="Content" ObjectID="_1643102415" r:id="rId48"/>
        </w:object>
      </w:r>
      <w:r>
        <w:rPr>
          <w:sz w:val="20"/>
          <w:szCs w:val="20"/>
          <w:lang w:val="uk-UA"/>
        </w:rPr>
        <w:t>(кВАр·год)</w:t>
      </w:r>
    </w:p>
    <w:p w14:paraId="77658E38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i/>
          <w:position w:val="-28"/>
          <w:sz w:val="20"/>
          <w:szCs w:val="20"/>
          <w:lang w:val="uk-UA"/>
        </w:rPr>
        <w:object w:dxaOrig="1680" w:dyaOrig="680" w14:anchorId="6E9933B4">
          <v:shape id="_x0000_i1045" type="#_x0000_t75" style="width:87.75pt;height:37.5pt" o:ole="">
            <v:imagedata r:id="rId49" o:title=""/>
          </v:shape>
          <o:OLEObject Type="Embed" ProgID="Equation.3" ShapeID="_x0000_i1045" DrawAspect="Content" ObjectID="_1643102416" r:id="rId50"/>
        </w:object>
      </w:r>
      <w:r>
        <w:rPr>
          <w:sz w:val="20"/>
          <w:szCs w:val="20"/>
          <w:lang w:val="uk-UA"/>
        </w:rPr>
        <w:t xml:space="preserve"> – еквівалентний індуктивний опір фази ПЛ (КЛ), Ом;</w:t>
      </w:r>
    </w:p>
    <w:p w14:paraId="0E0DF19E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499" w:dyaOrig="360" w14:anchorId="06616C84">
          <v:shape id="_x0000_i1046" type="#_x0000_t75" style="width:29.25pt;height:18.75pt" o:ole="">
            <v:imagedata r:id="rId51" o:title=""/>
          </v:shape>
          <o:OLEObject Type="Embed" ProgID="Equation.3" ShapeID="_x0000_i1046" DrawAspect="Content" ObjectID="_1643102417" r:id="rId52"/>
        </w:object>
      </w:r>
      <w:r>
        <w:rPr>
          <w:sz w:val="20"/>
          <w:szCs w:val="20"/>
          <w:lang w:val="uk-UA"/>
        </w:rPr>
        <w:t xml:space="preserve"> – питомий індуктивний опір фази </w:t>
      </w:r>
      <w:r>
        <w:rPr>
          <w:i/>
          <w:sz w:val="20"/>
          <w:szCs w:val="20"/>
          <w:lang w:val="uk-UA"/>
        </w:rPr>
        <w:t>m</w:t>
      </w:r>
      <w:r>
        <w:rPr>
          <w:sz w:val="20"/>
          <w:szCs w:val="20"/>
          <w:lang w:val="uk-UA"/>
        </w:rPr>
        <w:t>-тої ділянки ПЛ (КЛ) з однаковим перерізом проводу, Ом/км;</w:t>
      </w:r>
    </w:p>
    <w:p w14:paraId="47FB040E" w14:textId="77777777">
      <w:pPr>
        <w:spacing w:line="216" w:lineRule="auto"/>
        <w:ind w:left="851" w:right="-396" w:firstLine="283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300" w:dyaOrig="360" w14:anchorId="628CBBA0">
          <v:shape id="_x0000_i1047" type="#_x0000_t75" style="width:18pt;height:19.5pt" o:ole="">
            <v:imagedata r:id="rId53" o:title=""/>
          </v:shape>
          <o:OLEObject Type="Embed" ProgID="Equation.3" ShapeID="_x0000_i1047" DrawAspect="Content" ObjectID="_1643102418" r:id="rId54"/>
        </w:object>
      </w:r>
      <w:r>
        <w:rPr>
          <w:sz w:val="20"/>
          <w:szCs w:val="20"/>
          <w:lang w:val="uk-UA"/>
        </w:rPr>
        <w:t xml:space="preserve"> – довжина </w:t>
      </w:r>
      <w:r>
        <w:rPr>
          <w:i/>
          <w:sz w:val="20"/>
          <w:szCs w:val="20"/>
          <w:lang w:val="uk-UA"/>
        </w:rPr>
        <w:t>m</w:t>
      </w:r>
      <w:r>
        <w:rPr>
          <w:sz w:val="20"/>
          <w:szCs w:val="20"/>
          <w:lang w:val="uk-UA"/>
        </w:rPr>
        <w:t>-тої ділянки ПЛ (КЛ) з однаковою площею перерізу проводу з урахуванням його провисання, укладання «змійкою» тощо, км;</w:t>
      </w:r>
    </w:p>
    <w:p w14:paraId="03D755C5" w14:textId="77777777">
      <w:pPr>
        <w:spacing w:line="216" w:lineRule="auto"/>
        <w:ind w:left="851" w:right="-396" w:firstLine="283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540" w:dyaOrig="360" w14:anchorId="4C06C164">
          <v:shape id="_x0000_i1048" type="#_x0000_t75" style="width:27.75pt;height:18pt" o:ole="">
            <v:imagedata r:id="rId55" o:title=""/>
          </v:shape>
          <o:OLEObject Type="Embed" ProgID="Equation.3" ShapeID="_x0000_i1048" DrawAspect="Content" ObjectID="_1643102419" r:id="rId56"/>
        </w:object>
      </w:r>
      <w:r>
        <w:rPr>
          <w:sz w:val="20"/>
          <w:szCs w:val="20"/>
          <w:lang w:val="uk-UA"/>
        </w:rPr>
        <w:t xml:space="preserve"> – питома генерація реактивної потужності </w:t>
      </w:r>
      <w:r>
        <w:rPr>
          <w:i/>
          <w:sz w:val="20"/>
          <w:szCs w:val="20"/>
          <w:lang w:val="uk-UA"/>
        </w:rPr>
        <w:t>m</w:t>
      </w:r>
      <w:r>
        <w:rPr>
          <w:sz w:val="20"/>
          <w:szCs w:val="20"/>
          <w:lang w:val="uk-UA"/>
        </w:rPr>
        <w:t xml:space="preserve">-тої ділянки ПЛ (КЛ) з однаковою площею перерізу проводу, кВАр/км; </w:t>
      </w:r>
    </w:p>
    <w:p w14:paraId="77022162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position w:val="-6"/>
          <w:sz w:val="20"/>
          <w:szCs w:val="20"/>
          <w:lang w:val="uk-UA"/>
        </w:rPr>
        <w:object w:dxaOrig="200" w:dyaOrig="220" w14:anchorId="3A35F21E">
          <v:shape id="_x0000_i1049" type="#_x0000_t75" style="width:12pt;height:12.75pt" o:ole="">
            <v:imagedata r:id="rId57" o:title=""/>
          </v:shape>
          <o:OLEObject Type="Embed" ProgID="Equation.3" ShapeID="_x0000_i1049" DrawAspect="Content" ObjectID="_1643102420" r:id="rId58"/>
        </w:object>
      </w:r>
      <w:r>
        <w:rPr>
          <w:position w:val="-6"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–  кількість ділянок ЛЕП із однаковим перерізом проводу (кабелю);</w:t>
      </w:r>
    </w:p>
    <w:p w14:paraId="27C79CFF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380" w:dyaOrig="360" w14:anchorId="42964C1B">
          <v:shape id="_x0000_i1050" type="#_x0000_t75" style="width:18.75pt;height:18pt" o:ole="">
            <v:imagedata r:id="rId59" o:title=""/>
          </v:shape>
          <o:OLEObject Type="Embed" ProgID="Equation.DSMT4" ShapeID="_x0000_i1050" DrawAspect="Content" ObjectID="_1643102421" r:id="rId60"/>
        </w:object>
      </w:r>
      <w:r>
        <w:rPr>
          <w:sz w:val="20"/>
          <w:szCs w:val="20"/>
          <w:lang w:val="uk-UA"/>
        </w:rPr>
        <w:t xml:space="preserve"> - номінальна напруга ПЛ (КЛ);</w:t>
      </w:r>
    </w:p>
    <w:p w14:paraId="2FDEA7CC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i/>
          <w:position w:val="-10"/>
          <w:sz w:val="20"/>
          <w:szCs w:val="20"/>
          <w:lang w:val="uk-UA"/>
        </w:rPr>
        <w:object w:dxaOrig="279" w:dyaOrig="340" w14:anchorId="1AF26E2B">
          <v:shape id="_x0000_i1051" type="#_x0000_t75" style="width:18pt;height:19.5pt" o:ole="">
            <v:imagedata r:id="rId26" o:title=""/>
          </v:shape>
          <o:OLEObject Type="Embed" ProgID="Equation.3" ShapeID="_x0000_i1051" DrawAspect="Content" ObjectID="_1643102422" r:id="rId61"/>
        </w:object>
      </w:r>
      <w:r>
        <w:rPr>
          <w:sz w:val="20"/>
          <w:szCs w:val="20"/>
          <w:lang w:val="uk-UA"/>
        </w:rPr>
        <w:t xml:space="preserve"> – час роботи ЛЕП під навантаженням протягом розрахункового періоду, години.</w:t>
      </w:r>
    </w:p>
    <w:p w14:paraId="0BD809B1" w14:textId="77777777">
      <w:pPr>
        <w:spacing w:line="216" w:lineRule="auto"/>
        <w:ind w:left="851" w:right="-681" w:firstLine="283"/>
        <w:jc w:val="both"/>
        <w:rPr>
          <w:sz w:val="20"/>
          <w:szCs w:val="20"/>
          <w:lang w:val="uk-UA"/>
        </w:rPr>
      </w:pPr>
      <w:r>
        <w:rPr>
          <w:position w:val="-10"/>
          <w:sz w:val="20"/>
          <w:szCs w:val="20"/>
          <w:lang w:val="uk-UA"/>
        </w:rPr>
        <w:object w:dxaOrig="320" w:dyaOrig="340" w14:anchorId="61793099">
          <v:shape id="_x0000_i1052" type="#_x0000_t75" style="width:18pt;height:19.5pt" o:ole="">
            <v:imagedata r:id="rId28" o:title=""/>
          </v:shape>
          <o:OLEObject Type="Embed" ProgID="Equation.3" ShapeID="_x0000_i1052" DrawAspect="Content" ObjectID="_1643102423" r:id="rId62"/>
        </w:object>
      </w:r>
      <w:r>
        <w:rPr>
          <w:sz w:val="20"/>
          <w:szCs w:val="20"/>
          <w:lang w:val="uk-UA"/>
        </w:rPr>
        <w:t xml:space="preserve"> – час находження ПЛ (КЛ) під напругою, години.</w:t>
      </w:r>
    </w:p>
    <w:p w14:paraId="79F870D6" w14:textId="77777777">
      <w:pPr>
        <w:spacing w:line="216" w:lineRule="auto"/>
        <w:ind w:left="709" w:right="-396" w:firstLine="142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Якщо </w:t>
      </w:r>
      <w:r>
        <w:rPr>
          <w:position w:val="-12"/>
          <w:sz w:val="20"/>
          <w:szCs w:val="20"/>
          <w:lang w:val="uk-UA"/>
        </w:rPr>
        <w:object w:dxaOrig="960" w:dyaOrig="360" w14:anchorId="014A5AA4">
          <v:shape id="_x0000_i1053" type="#_x0000_t75" style="width:54pt;height:20.25pt" o:ole="">
            <v:imagedata r:id="rId63" o:title=""/>
          </v:shape>
          <o:OLEObject Type="Embed" ProgID="Equation.3" ShapeID="_x0000_i1053" DrawAspect="Content" ObjectID="_1643102424" r:id="rId64"/>
        </w:object>
      </w:r>
      <w:r>
        <w:rPr>
          <w:sz w:val="20"/>
          <w:szCs w:val="20"/>
          <w:lang w:val="uk-UA"/>
        </w:rPr>
        <w:t xml:space="preserve"> кВ (для ПЛ), або </w:t>
      </w:r>
      <w:r>
        <w:rPr>
          <w:position w:val="-12"/>
          <w:sz w:val="20"/>
          <w:szCs w:val="20"/>
          <w:lang w:val="uk-UA"/>
        </w:rPr>
        <w:object w:dxaOrig="859" w:dyaOrig="360" w14:anchorId="1C83FF20">
          <v:shape id="_x0000_i1054" type="#_x0000_t75" style="width:46.5pt;height:20.25pt" o:ole="">
            <v:imagedata r:id="rId65" o:title=""/>
          </v:shape>
          <o:OLEObject Type="Embed" ProgID="Equation.3" ShapeID="_x0000_i1054" DrawAspect="Content" ObjectID="_1643102425" r:id="rId66"/>
        </w:object>
      </w:r>
      <w:r>
        <w:rPr>
          <w:sz w:val="20"/>
          <w:szCs w:val="20"/>
          <w:lang w:val="uk-UA"/>
        </w:rPr>
        <w:t xml:space="preserve"> кВ (для КЛ) другий доданок у формулі приймають рівним нулю</w:t>
      </w:r>
    </w:p>
    <w:p w14:paraId="4B0DC205" w14:textId="77777777">
      <w:pPr>
        <w:spacing w:line="216" w:lineRule="auto"/>
        <w:ind w:firstLine="1418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2.2.1.3.</w:t>
      </w:r>
      <w:r>
        <w:rPr>
          <w:sz w:val="20"/>
          <w:szCs w:val="20"/>
          <w:lang w:val="uk-UA"/>
        </w:rPr>
        <w:t xml:space="preserve"> Кліматичні втрати електроенергії у кВт·год в ізоляції ПЛ розраховують за формулою:</w:t>
      </w:r>
    </w:p>
    <w:p w14:paraId="69D91274" w14:textId="77777777">
      <w:pPr>
        <w:spacing w:line="216" w:lineRule="auto"/>
        <w:ind w:left="851" w:firstLine="283"/>
        <w:jc w:val="center"/>
        <w:rPr>
          <w:bCs/>
          <w:position w:val="-28"/>
          <w:sz w:val="20"/>
          <w:szCs w:val="20"/>
          <w:lang w:val="uk-UA"/>
        </w:rPr>
      </w:pPr>
      <w:r>
        <w:rPr>
          <w:bCs/>
          <w:position w:val="-14"/>
          <w:sz w:val="20"/>
          <w:szCs w:val="20"/>
          <w:lang w:val="uk-UA"/>
        </w:rPr>
        <w:object w:dxaOrig="3500" w:dyaOrig="420" w14:anchorId="0EDF3549">
          <v:shape id="_x0000_i1055" type="#_x0000_t75" style="width:203.25pt;height:25.5pt" o:ole="">
            <v:imagedata r:id="rId67" o:title=""/>
          </v:shape>
          <o:OLEObject Type="Embed" ProgID="Equation.3" ShapeID="_x0000_i1055" DrawAspect="Content" ObjectID="_1643102426" r:id="rId68"/>
        </w:object>
      </w:r>
    </w:p>
    <w:p w14:paraId="47A5E7C6" w14:textId="77777777">
      <w:pPr>
        <w:spacing w:line="216" w:lineRule="auto"/>
        <w:ind w:left="851" w:firstLine="283"/>
        <w:jc w:val="both"/>
        <w:rPr>
          <w:bCs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bCs/>
          <w:position w:val="-14"/>
          <w:sz w:val="20"/>
          <w:szCs w:val="20"/>
          <w:lang w:val="uk-UA"/>
        </w:rPr>
        <w:object w:dxaOrig="940" w:dyaOrig="380" w14:anchorId="240BFB83">
          <v:shape id="_x0000_i1056" type="#_x0000_t75" style="width:50.25pt;height:21.75pt" o:ole="">
            <v:imagedata r:id="rId69" o:title=""/>
          </v:shape>
          <o:OLEObject Type="Embed" ProgID="Equation.3" ShapeID="_x0000_i1056" DrawAspect="Content" ObjectID="_1643102427" r:id="rId70"/>
        </w:object>
      </w:r>
      <w:r>
        <w:rPr>
          <w:bCs/>
          <w:sz w:val="20"/>
          <w:szCs w:val="20"/>
          <w:lang w:val="uk-UA"/>
        </w:rPr>
        <w:t xml:space="preserve"> –  питомі </w:t>
      </w:r>
      <w:r>
        <w:rPr>
          <w:sz w:val="20"/>
          <w:szCs w:val="20"/>
          <w:lang w:val="uk-UA"/>
        </w:rPr>
        <w:t>середньорічні втрати електроенергії в ізоляції ПЛ</w:t>
      </w:r>
      <w:r>
        <w:rPr>
          <w:bCs/>
          <w:i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і-го ступеня напруги у </w:t>
      </w:r>
      <w:r>
        <w:rPr>
          <w:i/>
          <w:sz w:val="20"/>
          <w:szCs w:val="20"/>
          <w:lang w:val="uk-UA"/>
        </w:rPr>
        <w:t>r</w:t>
      </w:r>
      <w:r>
        <w:rPr>
          <w:sz w:val="20"/>
          <w:szCs w:val="20"/>
          <w:lang w:val="uk-UA"/>
        </w:rPr>
        <w:t>-тому регіоні, тис.кВт</w:t>
      </w:r>
      <w:r>
        <w:rPr>
          <w:sz w:val="20"/>
          <w:szCs w:val="20"/>
          <w:lang w:val="uk-UA"/>
        </w:rPr>
        <w:sym w:font="Symbol" w:char="F0D7"/>
      </w:r>
      <w:r>
        <w:rPr>
          <w:sz w:val="20"/>
          <w:szCs w:val="20"/>
          <w:lang w:val="uk-UA"/>
        </w:rPr>
        <w:t>год /км</w:t>
      </w:r>
      <w:r>
        <w:rPr>
          <w:bCs/>
          <w:sz w:val="20"/>
          <w:szCs w:val="20"/>
          <w:lang w:val="uk-UA"/>
        </w:rPr>
        <w:t>;</w:t>
      </w:r>
    </w:p>
    <w:p w14:paraId="42B96588" w14:textId="77777777">
      <w:pPr>
        <w:pStyle w:val="a5"/>
        <w:spacing w:line="216" w:lineRule="auto"/>
        <w:ind w:left="851" w:firstLine="283"/>
        <w:rPr>
          <w:bCs/>
          <w:sz w:val="20"/>
          <w:szCs w:val="20"/>
          <w:lang w:val="uk-UA"/>
        </w:rPr>
      </w:pPr>
      <w:r>
        <w:rPr>
          <w:bCs/>
          <w:position w:val="-12"/>
          <w:sz w:val="20"/>
          <w:szCs w:val="20"/>
          <w:lang w:val="uk-UA"/>
        </w:rPr>
        <w:object w:dxaOrig="180" w:dyaOrig="360" w14:anchorId="7ABCA571">
          <v:shape id="_x0000_i1057" type="#_x0000_t75" style="width:10.5pt;height:19.5pt" o:ole="">
            <v:imagedata r:id="rId71" o:title=""/>
          </v:shape>
          <o:OLEObject Type="Embed" ProgID="Equation.3" ShapeID="_x0000_i1057" DrawAspect="Content" ObjectID="_1643102428" r:id="rId72"/>
        </w:object>
      </w:r>
      <w:r>
        <w:rPr>
          <w:bCs/>
          <w:sz w:val="20"/>
          <w:szCs w:val="20"/>
          <w:lang w:val="uk-UA"/>
        </w:rPr>
        <w:t xml:space="preserve"> – довжина ПЛ </w:t>
      </w:r>
      <w:r>
        <w:rPr>
          <w:sz w:val="20"/>
          <w:szCs w:val="20"/>
          <w:lang w:val="uk-UA"/>
        </w:rPr>
        <w:t>і-го ступеня напруги</w:t>
      </w:r>
      <w:r>
        <w:rPr>
          <w:bCs/>
          <w:sz w:val="20"/>
          <w:szCs w:val="20"/>
          <w:lang w:val="uk-UA"/>
        </w:rPr>
        <w:t>, км.</w:t>
      </w:r>
    </w:p>
    <w:p w14:paraId="5D78DAA3" w14:textId="77777777">
      <w:pPr>
        <w:spacing w:line="216" w:lineRule="auto"/>
        <w:ind w:firstLine="1418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2.2.1.4.</w:t>
      </w:r>
      <w:r>
        <w:rPr>
          <w:sz w:val="20"/>
          <w:szCs w:val="20"/>
          <w:lang w:val="uk-UA"/>
        </w:rPr>
        <w:t xml:space="preserve"> Втрати електроенергії у кВт·год в ізоляції КЛ розраховують за формулою:</w:t>
      </w:r>
    </w:p>
    <w:p w14:paraId="00687CF4" w14:textId="77777777">
      <w:pPr>
        <w:spacing w:line="216" w:lineRule="auto"/>
        <w:ind w:firstLine="851"/>
        <w:jc w:val="center"/>
        <w:rPr>
          <w:position w:val="-14"/>
          <w:sz w:val="20"/>
          <w:szCs w:val="20"/>
          <w:lang w:val="uk-UA"/>
        </w:rPr>
      </w:pPr>
      <w:r>
        <w:rPr>
          <w:position w:val="-28"/>
          <w:sz w:val="20"/>
          <w:szCs w:val="20"/>
          <w:lang w:val="uk-UA"/>
        </w:rPr>
        <w:object w:dxaOrig="2960" w:dyaOrig="700" w14:anchorId="3223E83C">
          <v:shape id="_x0000_i1058" type="#_x0000_t75" style="width:168pt;height:40.5pt" o:ole="">
            <v:imagedata r:id="rId73" o:title=""/>
          </v:shape>
          <o:OLEObject Type="Embed" ProgID="Equation.3" ShapeID="_x0000_i1058" DrawAspect="Content" ObjectID="_1643102429" r:id="rId74"/>
        </w:object>
      </w:r>
    </w:p>
    <w:p w14:paraId="438E5908" w14:textId="77777777">
      <w:pPr>
        <w:spacing w:line="216" w:lineRule="auto"/>
        <w:ind w:right="-680" w:firstLine="993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sz w:val="20"/>
          <w:szCs w:val="20"/>
          <w:lang w:val="uk-UA"/>
        </w:rPr>
        <w:fldChar w:fldCharType="begin"/>
      </w:r>
      <w:r>
        <w:rPr>
          <w:sz w:val="20"/>
          <w:szCs w:val="20"/>
          <w:lang w:val="uk-UA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6"/>
            <w:szCs w:val="26"/>
            <w:lang w:val="uk-UA"/>
          </w:rPr>
          <m:t xml:space="preserve"> ∆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uk-UA"/>
              </w:rPr>
              <m:t>0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 xml:space="preserve">– </m:t>
        </m:r>
      </m:oMath>
      <w:r>
        <w:rPr>
          <w:sz w:val="20"/>
          <w:szCs w:val="20"/>
          <w:lang w:val="uk-UA"/>
        </w:rPr>
        <w:instrText xml:space="preserve"> </w:instrText>
      </w:r>
      <w:r>
        <w:rPr>
          <w:sz w:val="20"/>
          <w:szCs w:val="20"/>
          <w:lang w:val="uk-UA"/>
        </w:rPr>
        <w:fldChar w:fldCharType="separate"/>
      </w:r>
      <w:r>
        <w:rPr>
          <w:position w:val="-14"/>
          <w:sz w:val="20"/>
          <w:szCs w:val="20"/>
          <w:lang w:val="uk-UA"/>
        </w:rPr>
        <w:object w:dxaOrig="540" w:dyaOrig="380" w14:anchorId="2691118D">
          <v:shape id="_x0000_i1059" type="#_x0000_t75" style="width:27pt;height:18.75pt" o:ole="">
            <v:imagedata r:id="rId75" o:title=""/>
          </v:shape>
          <o:OLEObject Type="Embed" ProgID="Equation.3" ShapeID="_x0000_i1059" DrawAspect="Content" ObjectID="_1643102430" r:id="rId76"/>
        </w:object>
      </w:r>
      <w:r>
        <w:rPr>
          <w:sz w:val="20"/>
          <w:szCs w:val="20"/>
          <w:lang w:val="uk-UA"/>
        </w:rPr>
        <w:fldChar w:fldCharType="end"/>
      </w:r>
      <w:r>
        <w:rPr>
          <w:sz w:val="20"/>
          <w:szCs w:val="20"/>
          <w:lang w:val="uk-UA"/>
        </w:rPr>
        <w:t xml:space="preserve">˗ питома зарядна потужність кабелю  </w:t>
      </w:r>
      <w:r>
        <w:rPr>
          <w:i/>
          <w:sz w:val="20"/>
          <w:szCs w:val="20"/>
          <w:lang w:val="uk-UA"/>
        </w:rPr>
        <w:t>j</w:t>
      </w:r>
      <w:r>
        <w:rPr>
          <w:sz w:val="20"/>
          <w:szCs w:val="20"/>
          <w:lang w:val="uk-UA"/>
        </w:rPr>
        <w:t>-го поперечного перерізу, кВАр/км;</w:t>
      </w:r>
    </w:p>
    <w:p w14:paraId="10D4E1CF" w14:textId="3F061B85">
      <w:pPr>
        <w:spacing w:line="216" w:lineRule="auto"/>
        <w:ind w:right="-680" w:firstLine="993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fldChar w:fldCharType="begin"/>
      </w:r>
      <w:r>
        <w:rPr>
          <w:sz w:val="20"/>
          <w:szCs w:val="20"/>
          <w:lang w:val="uk-UA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uk-UA"/>
              </w:rPr>
              <m:t>к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</m:sub>
        </m:sSub>
      </m:oMath>
      <w:r>
        <w:rPr>
          <w:sz w:val="20"/>
          <w:szCs w:val="20"/>
          <w:lang w:val="uk-UA"/>
        </w:rPr>
        <w:instrText xml:space="preserve"> </w:instrText>
      </w:r>
      <w:r>
        <w:rPr>
          <w:sz w:val="20"/>
          <w:szCs w:val="20"/>
          <w:lang w:val="uk-UA"/>
        </w:rPr>
        <w:fldChar w:fldCharType="separate"/>
      </w:r>
      <w:r>
        <w:rPr>
          <w:position w:val="-14"/>
          <w:sz w:val="20"/>
          <w:szCs w:val="20"/>
          <w:lang w:val="uk-UA"/>
        </w:rPr>
        <w:object w:dxaOrig="260" w:dyaOrig="380" w14:anchorId="265B1A34">
          <v:shape id="_x0000_i1060" type="#_x0000_t75" style="width:12.75pt;height:18.75pt" o:ole="">
            <v:imagedata r:id="rId77" o:title=""/>
          </v:shape>
          <o:OLEObject Type="Embed" ProgID="Equation.3" ShapeID="_x0000_i1060" DrawAspect="Content" ObjectID="_1643102431" r:id="rId78"/>
        </w:object>
      </w:r>
      <w:r>
        <w:rPr>
          <w:sz w:val="20"/>
          <w:szCs w:val="20"/>
          <w:lang w:val="uk-UA"/>
        </w:rPr>
        <w:fldChar w:fldCharType="end"/>
      </w:r>
      <w:r>
        <w:rPr>
          <w:sz w:val="20"/>
          <w:szCs w:val="20"/>
          <w:lang w:val="uk-UA"/>
        </w:rPr>
        <w:t xml:space="preserve"> – сумарна довжина ділянок ЛЕП, виконаних кабелем  </w:t>
      </w:r>
      <w:r>
        <w:rPr>
          <w:i/>
          <w:sz w:val="20"/>
          <w:szCs w:val="20"/>
          <w:lang w:val="uk-UA"/>
        </w:rPr>
        <w:t>j</w:t>
      </w:r>
      <w:r>
        <w:rPr>
          <w:sz w:val="20"/>
          <w:szCs w:val="20"/>
          <w:lang w:val="uk-UA"/>
        </w:rPr>
        <w:t>-го поперечного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перерізу, км;</w:t>
      </w:r>
    </w:p>
    <w:p w14:paraId="51E76B7C" w14:textId="77777777">
      <w:pPr>
        <w:spacing w:line="216" w:lineRule="auto"/>
        <w:ind w:right="-680" w:firstLine="993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fldChar w:fldCharType="begin"/>
      </w:r>
      <w:r>
        <w:rPr>
          <w:sz w:val="20"/>
          <w:szCs w:val="20"/>
          <w:lang w:val="uk-UA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6"/>
            <w:szCs w:val="26"/>
            <w:lang w:val="en-US"/>
          </w:rPr>
          <m:t>δ</m:t>
        </m:r>
      </m:oMath>
      <w:r>
        <w:rPr>
          <w:sz w:val="20"/>
          <w:szCs w:val="20"/>
          <w:lang w:val="uk-UA"/>
        </w:rPr>
        <w:instrText xml:space="preserve"> </w:instrText>
      </w:r>
      <w:r>
        <w:rPr>
          <w:sz w:val="20"/>
          <w:szCs w:val="20"/>
          <w:lang w:val="uk-UA"/>
        </w:rPr>
        <w:fldChar w:fldCharType="separate"/>
      </w:r>
      <w:r>
        <w:rPr>
          <w:position w:val="-10"/>
          <w:sz w:val="20"/>
          <w:szCs w:val="20"/>
          <w:lang w:val="uk-UA"/>
        </w:rPr>
        <w:object w:dxaOrig="420" w:dyaOrig="320" w14:anchorId="1008F76A">
          <v:shape id="_x0000_i1061" type="#_x0000_t75" style="width:21.75pt;height:15.75pt" o:ole="">
            <v:imagedata r:id="rId79" o:title=""/>
          </v:shape>
          <o:OLEObject Type="Embed" ProgID="Equation.3" ShapeID="_x0000_i1061" DrawAspect="Content" ObjectID="_1643102432" r:id="rId80"/>
        </w:object>
      </w:r>
      <w:r>
        <w:rPr>
          <w:sz w:val="20"/>
          <w:szCs w:val="20"/>
          <w:lang w:val="uk-UA"/>
        </w:rPr>
        <w:fldChar w:fldCharType="end"/>
      </w:r>
      <w:r>
        <w:rPr>
          <w:i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– тангенс кута діелектричних втрат;</w:t>
      </w:r>
    </w:p>
    <w:p w14:paraId="3613511C" w14:textId="77777777">
      <w:pPr>
        <w:spacing w:line="216" w:lineRule="auto"/>
        <w:ind w:right="-680" w:firstLine="993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fldChar w:fldCharType="begin"/>
      </w:r>
      <w:r>
        <w:rPr>
          <w:sz w:val="20"/>
          <w:szCs w:val="20"/>
          <w:lang w:val="uk-UA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uk-UA"/>
              </w:rPr>
              <m:t xml:space="preserve"> 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uk-UA"/>
              </w:rPr>
              <m:t>р</m:t>
            </m:r>
          </m:sub>
        </m:sSub>
      </m:oMath>
      <w:r>
        <w:rPr>
          <w:sz w:val="20"/>
          <w:szCs w:val="20"/>
          <w:lang w:val="uk-UA"/>
        </w:rPr>
        <w:instrText xml:space="preserve"> </w:instrText>
      </w:r>
      <w:r>
        <w:rPr>
          <w:sz w:val="20"/>
          <w:szCs w:val="20"/>
          <w:lang w:val="uk-UA"/>
        </w:rPr>
        <w:fldChar w:fldCharType="separate"/>
      </w:r>
      <w:r>
        <w:rPr>
          <w:position w:val="-10"/>
          <w:sz w:val="20"/>
          <w:szCs w:val="20"/>
          <w:lang w:val="uk-UA"/>
        </w:rPr>
        <w:object w:dxaOrig="320" w:dyaOrig="340" w14:anchorId="43084BAA">
          <v:shape id="_x0000_i1062" type="#_x0000_t75" style="width:15.75pt;height:18pt" o:ole="">
            <v:imagedata r:id="rId81" o:title=""/>
          </v:shape>
          <o:OLEObject Type="Embed" ProgID="Equation.3" ShapeID="_x0000_i1062" DrawAspect="Content" ObjectID="_1643102433" r:id="rId82"/>
        </w:object>
      </w:r>
      <w:r>
        <w:rPr>
          <w:sz w:val="20"/>
          <w:szCs w:val="20"/>
          <w:lang w:val="uk-UA"/>
        </w:rPr>
        <w:fldChar w:fldCharType="end"/>
      </w:r>
      <w:r>
        <w:rPr>
          <w:sz w:val="20"/>
          <w:szCs w:val="20"/>
          <w:lang w:val="uk-UA"/>
        </w:rPr>
        <w:t xml:space="preserve">  </w:t>
      </w:r>
      <w:r>
        <w:rPr>
          <w:bCs/>
          <w:sz w:val="20"/>
          <w:szCs w:val="20"/>
          <w:lang w:val="uk-UA"/>
        </w:rPr>
        <w:t xml:space="preserve">– час </w:t>
      </w:r>
      <w:r>
        <w:rPr>
          <w:sz w:val="20"/>
          <w:szCs w:val="20"/>
          <w:lang w:val="uk-UA"/>
        </w:rPr>
        <w:t xml:space="preserve">находження </w:t>
      </w:r>
      <w:r>
        <w:rPr>
          <w:bCs/>
          <w:sz w:val="20"/>
          <w:szCs w:val="20"/>
          <w:lang w:val="uk-UA"/>
        </w:rPr>
        <w:t>КЛ</w:t>
      </w:r>
      <w:r>
        <w:rPr>
          <w:sz w:val="20"/>
          <w:szCs w:val="20"/>
          <w:lang w:val="uk-UA"/>
        </w:rPr>
        <w:t xml:space="preserve"> під напругою за розрахунковий період</w:t>
      </w:r>
      <w:r>
        <w:rPr>
          <w:bCs/>
          <w:sz w:val="20"/>
          <w:szCs w:val="20"/>
          <w:lang w:val="uk-UA"/>
        </w:rPr>
        <w:t>, годин</w:t>
      </w:r>
      <w:r>
        <w:rPr>
          <w:sz w:val="20"/>
          <w:szCs w:val="20"/>
          <w:lang w:val="uk-UA"/>
        </w:rPr>
        <w:t>.</w:t>
      </w:r>
    </w:p>
    <w:p w14:paraId="1E1B6994" w14:textId="21C82FE1">
      <w:pPr>
        <w:spacing w:line="216" w:lineRule="auto"/>
        <w:ind w:left="709" w:right="-396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2.2.2.</w:t>
      </w:r>
      <w:r>
        <w:rPr>
          <w:sz w:val="20"/>
          <w:szCs w:val="20"/>
          <w:lang w:val="uk-UA"/>
        </w:rPr>
        <w:t xml:space="preserve"> Для рівня інформаційного забезпечення Б втрати визначаються відповідно до п.7.4, 7.5, 7.6 Методичних рекомендацій</w:t>
      </w:r>
      <w:r>
        <w:rPr>
          <w:sz w:val="20"/>
          <w:szCs w:val="20"/>
          <w:lang w:val="uk-UA"/>
        </w:rPr>
        <w:t>.</w:t>
      </w:r>
    </w:p>
    <w:p w14:paraId="1CAE1468" w14:textId="77777777">
      <w:pPr>
        <w:spacing w:line="216" w:lineRule="auto"/>
        <w:ind w:left="709" w:right="-396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2.2.3.</w:t>
      </w:r>
      <w:r>
        <w:rPr>
          <w:sz w:val="20"/>
          <w:szCs w:val="20"/>
          <w:lang w:val="uk-UA"/>
        </w:rPr>
        <w:t xml:space="preserve"> Вихідні дані для розрахунку втрат наведені в Таблиці 2 Продовження Додатка 8.</w:t>
      </w:r>
    </w:p>
    <w:p w14:paraId="5D5191C0" w14:textId="77777777">
      <w:pPr>
        <w:spacing w:line="216" w:lineRule="auto"/>
        <w:ind w:left="709" w:right="-396" w:firstLine="567"/>
        <w:jc w:val="both"/>
        <w:rPr>
          <w:sz w:val="20"/>
          <w:szCs w:val="20"/>
          <w:lang w:val="uk-UA"/>
        </w:rPr>
      </w:pPr>
    </w:p>
    <w:p w14:paraId="28FC0F0C" w14:textId="1857BA8C">
      <w:pPr>
        <w:ind w:left="709" w:right="-396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3. Розрахунок втрати електроенергії в реакторах</w:t>
      </w:r>
    </w:p>
    <w:p w14:paraId="68DA03C4" w14:textId="1DA7B18E">
      <w:pPr>
        <w:ind w:left="709" w:right="-396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.3.1.</w:t>
      </w:r>
      <w:r>
        <w:rPr>
          <w:sz w:val="20"/>
          <w:szCs w:val="20"/>
          <w:lang w:val="uk-UA"/>
        </w:rPr>
        <w:t xml:space="preserve"> Для рівня інформаційного забезпечення А втрати визначаються відповідно до п.7.2.4, 7.2.5 та 7.2.6 Методичних рекомендацій за формулами.</w:t>
      </w:r>
    </w:p>
    <w:p w14:paraId="0ECF7031" w14:textId="281FD28E">
      <w:pPr>
        <w:pStyle w:val="a5"/>
        <w:spacing w:line="240" w:lineRule="auto"/>
        <w:ind w:left="709" w:right="-396" w:firstLine="567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.3.1.1</w:t>
      </w:r>
      <w:r>
        <w:rPr>
          <w:i/>
          <w:sz w:val="20"/>
          <w:szCs w:val="20"/>
          <w:lang w:val="uk-UA"/>
        </w:rPr>
        <w:t>.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Втрати активної енергії </w:t>
      </w:r>
      <w:r>
        <w:rPr>
          <w:sz w:val="20"/>
          <w:szCs w:val="20"/>
          <w:lang w:val="uk-UA"/>
        </w:rPr>
        <w:t>у кВт·год в трифазних групах струмообмежувальних реакторів розраховують за формулами:</w:t>
      </w:r>
    </w:p>
    <w:p w14:paraId="470FB030" w14:textId="77777777">
      <w:pPr>
        <w:ind w:firstLine="284"/>
        <w:jc w:val="center"/>
        <w:rPr>
          <w:position w:val="-30"/>
          <w:sz w:val="20"/>
          <w:szCs w:val="20"/>
          <w:lang w:val="uk-UA"/>
        </w:rPr>
      </w:pPr>
      <w:r>
        <w:rPr>
          <w:position w:val="-30"/>
          <w:sz w:val="20"/>
          <w:szCs w:val="20"/>
          <w:lang w:val="uk-UA"/>
        </w:rPr>
        <w:object w:dxaOrig="3120" w:dyaOrig="720" w14:anchorId="7FB9AEC2">
          <v:shape id="_x0000_i1063" type="#_x0000_t75" style="width:158.25pt;height:36.75pt" o:ole="">
            <v:imagedata r:id="rId83" o:title=""/>
          </v:shape>
          <o:OLEObject Type="Embed" ProgID="Equation.3" ShapeID="_x0000_i1063" DrawAspect="Content" ObjectID="_1643102434" r:id="rId84"/>
        </w:object>
      </w:r>
    </w:p>
    <w:p w14:paraId="3FE6F79B" w14:textId="77777777">
      <w:pPr>
        <w:ind w:firstLine="993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position w:val="-14"/>
          <w:sz w:val="20"/>
          <w:szCs w:val="20"/>
        </w:rPr>
        <w:object w:dxaOrig="279" w:dyaOrig="400" w14:anchorId="117232E1">
          <v:shape id="_x0000_i1064" type="#_x0000_t75" style="width:18pt;height:24pt" o:ole="">
            <v:imagedata r:id="rId34" o:title=""/>
          </v:shape>
          <o:OLEObject Type="Embed" ProgID="Equation.3" ShapeID="_x0000_i1064" DrawAspect="Content" ObjectID="_1643102435" r:id="rId85"/>
        </w:object>
      </w:r>
      <w:r>
        <w:rPr>
          <w:sz w:val="20"/>
          <w:szCs w:val="20"/>
          <w:lang w:val="uk-UA"/>
        </w:rPr>
        <w:t>– середнє протягом розрахункового періоду діюче значення сили струму ЛЕП, А;</w:t>
      </w:r>
    </w:p>
    <w:p w14:paraId="1AB5CACE" w14:textId="77777777">
      <w:pPr>
        <w:ind w:firstLine="284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560" w:dyaOrig="360" w14:anchorId="65169284">
          <v:shape id="_x0000_i1065" type="#_x0000_t75" style="width:33pt;height:19.5pt" o:ole="">
            <v:imagedata r:id="rId86" o:title=""/>
          </v:shape>
          <o:OLEObject Type="Embed" ProgID="Equation.3" ShapeID="_x0000_i1065" DrawAspect="Content" ObjectID="_1643102436" r:id="rId87"/>
        </w:object>
      </w:r>
      <w:r>
        <w:rPr>
          <w:sz w:val="20"/>
          <w:szCs w:val="20"/>
          <w:lang w:val="uk-UA"/>
        </w:rPr>
        <w:t xml:space="preserve"> – номінальний струм реактора, А;</w:t>
      </w:r>
    </w:p>
    <w:p w14:paraId="4B31FDFA" w14:textId="77777777">
      <w:pPr>
        <w:ind w:firstLine="284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720" w:dyaOrig="360" w14:anchorId="2DFFB54F">
          <v:shape id="_x0000_i1066" type="#_x0000_t75" style="width:41.25pt;height:19.5pt" o:ole="">
            <v:imagedata r:id="rId88" o:title=""/>
          </v:shape>
          <o:OLEObject Type="Embed" ProgID="Equation.3" ShapeID="_x0000_i1066" DrawAspect="Content" ObjectID="_1643102437" r:id="rId89"/>
        </w:object>
      </w:r>
      <w:r>
        <w:rPr>
          <w:sz w:val="20"/>
          <w:szCs w:val="20"/>
          <w:lang w:val="uk-UA"/>
        </w:rPr>
        <w:t>– втрати активної потужності в одній фазі реактора за номінального струму, кВт;</w:t>
      </w:r>
    </w:p>
    <w:p w14:paraId="57E9420D" w14:textId="77777777">
      <w:pPr>
        <w:ind w:firstLine="284"/>
        <w:rPr>
          <w:sz w:val="20"/>
          <w:szCs w:val="20"/>
          <w:lang w:val="uk-UA"/>
        </w:rPr>
      </w:pPr>
      <w:r>
        <w:rPr>
          <w:i/>
          <w:position w:val="-18"/>
          <w:sz w:val="20"/>
          <w:szCs w:val="20"/>
          <w:lang w:val="uk-UA"/>
        </w:rPr>
        <w:object w:dxaOrig="340" w:dyaOrig="440" w14:anchorId="45DB6BFE">
          <v:shape id="_x0000_i1067" type="#_x0000_t75" style="width:19.5pt;height:25.5pt" o:ole="">
            <v:imagedata r:id="rId90" o:title=""/>
          </v:shape>
          <o:OLEObject Type="Embed" ProgID="Equation.3" ShapeID="_x0000_i1067" DrawAspect="Content" ObjectID="_1643102438" r:id="rId91"/>
        </w:object>
      </w:r>
      <w:r>
        <w:rPr>
          <w:sz w:val="20"/>
          <w:szCs w:val="20"/>
          <w:lang w:val="uk-UA"/>
        </w:rPr>
        <w:t xml:space="preserve"> – коефіцієнт форми графіка навантаження;</w:t>
      </w:r>
    </w:p>
    <w:p w14:paraId="2A97CB95" w14:textId="77777777">
      <w:pPr>
        <w:ind w:firstLine="284"/>
        <w:jc w:val="both"/>
        <w:rPr>
          <w:sz w:val="20"/>
          <w:szCs w:val="20"/>
          <w:lang w:val="uk-UA"/>
        </w:rPr>
      </w:pPr>
      <w:r>
        <w:rPr>
          <w:position w:val="-10"/>
          <w:sz w:val="20"/>
          <w:szCs w:val="20"/>
          <w:lang w:val="uk-UA"/>
        </w:rPr>
        <w:object w:dxaOrig="279" w:dyaOrig="340" w14:anchorId="0DCAD661">
          <v:shape id="_x0000_i1068" type="#_x0000_t75" style="width:15pt;height:19.5pt" o:ole="">
            <v:imagedata r:id="rId92" o:title=""/>
          </v:shape>
          <o:OLEObject Type="Embed" ProgID="Equation.3" ShapeID="_x0000_i1068" DrawAspect="Content" ObjectID="_1643102439" r:id="rId93"/>
        </w:object>
      </w:r>
      <w:r>
        <w:rPr>
          <w:sz w:val="20"/>
          <w:szCs w:val="20"/>
          <w:lang w:val="uk-UA"/>
        </w:rPr>
        <w:t xml:space="preserve"> – час роботи реактора під навантаженням, години.</w:t>
      </w:r>
    </w:p>
    <w:p w14:paraId="1C69EB52" w14:textId="18C3BA84">
      <w:pPr>
        <w:pStyle w:val="a5"/>
        <w:spacing w:after="120" w:line="240" w:lineRule="auto"/>
        <w:ind w:right="170" w:firstLine="567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.3.1.2.</w:t>
      </w:r>
      <w:r>
        <w:rPr>
          <w:sz w:val="20"/>
          <w:szCs w:val="20"/>
          <w:lang w:val="uk-UA"/>
        </w:rPr>
        <w:t xml:space="preserve"> Втрати реактивної енергії у кВАр·год в трифазних групах струмообмежувальних  реакторів  </w:t>
      </w:r>
      <w:r>
        <w:rPr>
          <w:position w:val="-10"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розраховують за формулою:</w:t>
      </w:r>
    </w:p>
    <w:p w14:paraId="26757A9D" w14:textId="77777777">
      <w:pPr>
        <w:ind w:right="170" w:firstLine="284"/>
        <w:jc w:val="center"/>
        <w:rPr>
          <w:position w:val="-12"/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3340" w:dyaOrig="400" w14:anchorId="398EF851">
          <v:shape id="_x0000_i1069" type="#_x0000_t75" style="width:179.25pt;height:20.25pt" o:ole="">
            <v:imagedata r:id="rId94" o:title=""/>
          </v:shape>
          <o:OLEObject Type="Embed" ProgID="Equation.3" ShapeID="_x0000_i1069" DrawAspect="Content" ObjectID="_1643102440" r:id="rId95"/>
        </w:object>
      </w:r>
    </w:p>
    <w:p w14:paraId="03ED9A01" w14:textId="77777777">
      <w:pPr>
        <w:ind w:firstLine="28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position w:val="-12"/>
          <w:sz w:val="20"/>
          <w:szCs w:val="20"/>
          <w:lang w:val="uk-UA"/>
        </w:rPr>
        <w:object w:dxaOrig="660" w:dyaOrig="360" w14:anchorId="3CD9144B">
          <v:shape id="_x0000_i1070" type="#_x0000_t75" style="width:38.25pt;height:19.5pt" o:ole="">
            <v:imagedata r:id="rId96" o:title=""/>
          </v:shape>
          <o:OLEObject Type="Embed" ProgID="Equation.3" ShapeID="_x0000_i1070" DrawAspect="Content" ObjectID="_1643102441" r:id="rId97"/>
        </w:object>
      </w:r>
      <w:r>
        <w:rPr>
          <w:sz w:val="20"/>
          <w:szCs w:val="20"/>
          <w:lang w:val="uk-UA"/>
        </w:rPr>
        <w:t xml:space="preserve"> – номінальний індуктивний опір реактора, Ом;</w:t>
      </w:r>
    </w:p>
    <w:p w14:paraId="4D39B7FC" w14:textId="77777777">
      <w:pPr>
        <w:ind w:firstLine="284"/>
        <w:jc w:val="both"/>
        <w:rPr>
          <w:sz w:val="20"/>
          <w:szCs w:val="20"/>
          <w:lang w:val="uk-UA"/>
        </w:rPr>
      </w:pPr>
      <w:r>
        <w:rPr>
          <w:position w:val="-10"/>
          <w:sz w:val="20"/>
          <w:szCs w:val="20"/>
          <w:lang w:val="uk-UA"/>
        </w:rPr>
        <w:object w:dxaOrig="279" w:dyaOrig="340" w14:anchorId="6EEC450E">
          <v:shape id="_x0000_i1071" type="#_x0000_t75" style="width:15pt;height:19.5pt" o:ole="">
            <v:imagedata r:id="rId92" o:title=""/>
          </v:shape>
          <o:OLEObject Type="Embed" ProgID="Equation.3" ShapeID="_x0000_i1071" DrawAspect="Content" ObjectID="_1643102442" r:id="rId98"/>
        </w:object>
      </w:r>
      <w:r>
        <w:rPr>
          <w:sz w:val="20"/>
          <w:szCs w:val="20"/>
          <w:lang w:val="uk-UA"/>
        </w:rPr>
        <w:t xml:space="preserve"> – час роботи реактора під навантаженням, години.</w:t>
      </w:r>
    </w:p>
    <w:p w14:paraId="3A540B0D" w14:textId="53FAC6DD">
      <w:pPr>
        <w:pStyle w:val="a5"/>
        <w:spacing w:line="240" w:lineRule="auto"/>
        <w:ind w:firstLine="567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.3.1.3.</w:t>
      </w:r>
      <w:r>
        <w:rPr>
          <w:sz w:val="20"/>
          <w:szCs w:val="20"/>
          <w:lang w:val="uk-UA"/>
        </w:rPr>
        <w:t xml:space="preserve"> Втрати активної енергії  у кВт·год в шунтувальному реакторі розраховують за формулою:</w:t>
      </w:r>
    </w:p>
    <w:p w14:paraId="4538B6A8" w14:textId="77777777">
      <w:pPr>
        <w:ind w:firstLine="284"/>
        <w:jc w:val="center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1900" w:dyaOrig="400" w14:anchorId="792212AF">
          <v:shape id="_x0000_i1072" type="#_x0000_t75" style="width:101.25pt;height:21.75pt" o:ole="">
            <v:imagedata r:id="rId99" o:title=""/>
          </v:shape>
          <o:OLEObject Type="Embed" ProgID="Equation.3" ShapeID="_x0000_i1072" DrawAspect="Content" ObjectID="_1643102443" r:id="rId100"/>
        </w:object>
      </w:r>
    </w:p>
    <w:p w14:paraId="2BC42911" w14:textId="77777777">
      <w:pPr>
        <w:ind w:firstLine="28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position w:val="-12"/>
          <w:sz w:val="20"/>
          <w:szCs w:val="20"/>
          <w:lang w:val="uk-UA"/>
        </w:rPr>
        <w:object w:dxaOrig="720" w:dyaOrig="360" w14:anchorId="2B33B34B">
          <v:shape id="_x0000_i1073" type="#_x0000_t75" style="width:41.25pt;height:19.5pt" o:ole="">
            <v:imagedata r:id="rId101" o:title=""/>
          </v:shape>
          <o:OLEObject Type="Embed" ProgID="Equation.3" ShapeID="_x0000_i1073" DrawAspect="Content" ObjectID="_1643102444" r:id="rId102"/>
        </w:object>
      </w:r>
      <w:r>
        <w:rPr>
          <w:sz w:val="20"/>
          <w:szCs w:val="20"/>
          <w:lang w:val="uk-UA"/>
        </w:rPr>
        <w:t>– втрати активної потужності в реакторі за номінальної напруги, кВт;</w:t>
      </w:r>
    </w:p>
    <w:p w14:paraId="1F684972" w14:textId="77777777">
      <w:pPr>
        <w:ind w:firstLine="284"/>
        <w:jc w:val="both"/>
        <w:rPr>
          <w:sz w:val="20"/>
          <w:szCs w:val="20"/>
          <w:lang w:val="uk-UA"/>
        </w:rPr>
      </w:pPr>
      <w:r>
        <w:rPr>
          <w:position w:val="-10"/>
          <w:sz w:val="20"/>
          <w:szCs w:val="20"/>
          <w:lang w:val="uk-UA"/>
        </w:rPr>
        <w:object w:dxaOrig="320" w:dyaOrig="340" w14:anchorId="7972177D">
          <v:shape id="_x0000_i1074" type="#_x0000_t75" style="width:18pt;height:19.5pt" o:ole="">
            <v:imagedata r:id="rId28" o:title=""/>
          </v:shape>
          <o:OLEObject Type="Embed" ProgID="Equation.3" ShapeID="_x0000_i1074" DrawAspect="Content" ObjectID="_1643102445" r:id="rId103"/>
        </w:object>
      </w:r>
      <w:r>
        <w:rPr>
          <w:sz w:val="20"/>
          <w:szCs w:val="20"/>
          <w:lang w:val="uk-UA"/>
        </w:rPr>
        <w:t xml:space="preserve"> – час находження реактора під напругою, години</w:t>
      </w:r>
    </w:p>
    <w:p w14:paraId="7ED64CD6" w14:textId="00088830">
      <w:pPr>
        <w:ind w:right="171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.3.2</w:t>
      </w:r>
      <w:r>
        <w:rPr>
          <w:sz w:val="20"/>
          <w:szCs w:val="20"/>
          <w:lang w:val="uk-UA"/>
        </w:rPr>
        <w:t>. Для рівня інформаційного забезпечення Б втрати визначаються відповідно до п.7.4</w:t>
      </w:r>
      <w:r>
        <w:rPr>
          <w:sz w:val="20"/>
          <w:szCs w:val="20"/>
          <w:lang w:val="uk-UA"/>
        </w:rPr>
        <w:t>.4</w:t>
      </w:r>
      <w:r>
        <w:rPr>
          <w:sz w:val="20"/>
          <w:szCs w:val="20"/>
          <w:lang w:val="uk-UA"/>
        </w:rPr>
        <w:t>, 7.</w:t>
      </w:r>
      <w:r>
        <w:rPr>
          <w:sz w:val="20"/>
          <w:szCs w:val="20"/>
          <w:lang w:val="uk-UA"/>
        </w:rPr>
        <w:t>4.5 та 7.4.6</w:t>
      </w:r>
      <w:r>
        <w:rPr>
          <w:sz w:val="20"/>
          <w:szCs w:val="20"/>
          <w:lang w:val="uk-UA"/>
        </w:rPr>
        <w:t xml:space="preserve"> Методичних рекомендацій</w:t>
      </w:r>
    </w:p>
    <w:p w14:paraId="7E4EB74F" w14:textId="7EDB5E2F">
      <w:pPr>
        <w:spacing w:line="216" w:lineRule="auto"/>
        <w:ind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3</w:t>
      </w:r>
      <w:r>
        <w:rPr>
          <w:b/>
          <w:sz w:val="20"/>
          <w:szCs w:val="20"/>
          <w:lang w:val="uk-UA"/>
        </w:rPr>
        <w:t>.3.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Вихідні</w:t>
      </w:r>
      <w:r>
        <w:rPr>
          <w:sz w:val="20"/>
          <w:szCs w:val="20"/>
          <w:lang w:val="uk-UA"/>
        </w:rPr>
        <w:t xml:space="preserve"> дан</w:t>
      </w:r>
      <w:r>
        <w:rPr>
          <w:sz w:val="20"/>
          <w:szCs w:val="20"/>
          <w:lang w:val="uk-UA"/>
        </w:rPr>
        <w:t xml:space="preserve">і для розрахунку втрат наведені в Таблиці </w:t>
      </w:r>
      <w:r>
        <w:rPr>
          <w:sz w:val="20"/>
          <w:szCs w:val="20"/>
          <w:lang w:val="uk-UA"/>
        </w:rPr>
        <w:t>3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Продовження Додатка </w:t>
      </w:r>
      <w:r>
        <w:rPr>
          <w:sz w:val="20"/>
          <w:szCs w:val="20"/>
          <w:lang w:val="uk-UA"/>
        </w:rPr>
        <w:t>8</w:t>
      </w:r>
      <w:r>
        <w:rPr>
          <w:sz w:val="20"/>
          <w:szCs w:val="20"/>
          <w:lang w:val="uk-UA"/>
        </w:rPr>
        <w:t>.</w:t>
      </w:r>
    </w:p>
    <w:p w14:paraId="1C3D60BE" w14:textId="77777777">
      <w:pPr>
        <w:spacing w:line="216" w:lineRule="auto"/>
        <w:ind w:firstLine="567"/>
        <w:jc w:val="both"/>
        <w:rPr>
          <w:sz w:val="20"/>
          <w:szCs w:val="20"/>
          <w:lang w:val="uk-UA"/>
        </w:rPr>
      </w:pPr>
    </w:p>
    <w:p w14:paraId="56E50122" w14:textId="23375290">
      <w:pPr>
        <w:spacing w:line="216" w:lineRule="auto"/>
        <w:ind w:firstLine="567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 Р</w:t>
      </w:r>
      <w:r>
        <w:rPr>
          <w:b/>
          <w:sz w:val="20"/>
          <w:szCs w:val="20"/>
          <w:lang w:val="uk-UA"/>
        </w:rPr>
        <w:t>озрахун</w:t>
      </w:r>
      <w:r>
        <w:rPr>
          <w:b/>
          <w:sz w:val="20"/>
          <w:szCs w:val="20"/>
          <w:lang w:val="uk-UA"/>
        </w:rPr>
        <w:t>о</w:t>
      </w:r>
      <w:r>
        <w:rPr>
          <w:b/>
          <w:sz w:val="20"/>
          <w:szCs w:val="20"/>
          <w:lang w:val="uk-UA"/>
        </w:rPr>
        <w:t xml:space="preserve">к втрат </w:t>
      </w:r>
      <w:r>
        <w:rPr>
          <w:b/>
          <w:sz w:val="20"/>
          <w:szCs w:val="20"/>
          <w:lang w:val="uk-UA"/>
        </w:rPr>
        <w:t xml:space="preserve">у </w:t>
      </w:r>
      <w:r>
        <w:rPr>
          <w:b/>
          <w:sz w:val="20"/>
          <w:szCs w:val="20"/>
          <w:lang w:val="uk-UA"/>
        </w:rPr>
        <w:t xml:space="preserve">зовнішній живильній мережі та </w:t>
      </w:r>
      <w:r>
        <w:rPr>
          <w:b/>
          <w:sz w:val="20"/>
          <w:szCs w:val="20"/>
          <w:lang w:val="uk-UA"/>
        </w:rPr>
        <w:t>внутрішньобудинкових мережах</w:t>
      </w:r>
      <w:r>
        <w:rPr>
          <w:b/>
          <w:sz w:val="20"/>
          <w:szCs w:val="20"/>
          <w:lang w:val="uk-UA"/>
        </w:rPr>
        <w:t xml:space="preserve"> </w:t>
      </w:r>
    </w:p>
    <w:p w14:paraId="2A695A0F" w14:textId="77777777">
      <w:pPr>
        <w:tabs>
          <w:tab w:val="left" w:pos="0"/>
        </w:tabs>
        <w:spacing w:line="216" w:lineRule="auto"/>
        <w:ind w:right="170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Вт</w:t>
      </w:r>
      <w:r>
        <w:rPr>
          <w:sz w:val="20"/>
          <w:szCs w:val="20"/>
          <w:lang w:val="uk-UA"/>
        </w:rPr>
        <w:t>рат</w:t>
      </w:r>
      <w:r>
        <w:rPr>
          <w:sz w:val="20"/>
          <w:szCs w:val="20"/>
          <w:lang w:val="uk-UA"/>
        </w:rPr>
        <w:t>и</w:t>
      </w:r>
      <w:r>
        <w:rPr>
          <w:sz w:val="20"/>
          <w:szCs w:val="20"/>
          <w:lang w:val="uk-UA"/>
        </w:rPr>
        <w:t xml:space="preserve"> електричної енергії</w:t>
      </w:r>
      <w:r>
        <w:rPr>
          <w:sz w:val="26"/>
          <w:szCs w:val="26"/>
          <w:lang w:val="uk-UA"/>
        </w:rPr>
        <w:t xml:space="preserve">, </w:t>
      </w:r>
      <w:r>
        <w:rPr>
          <w:sz w:val="20"/>
          <w:szCs w:val="20"/>
          <w:lang w:val="uk-UA"/>
        </w:rPr>
        <w:t>пов’язан</w:t>
      </w:r>
      <w:r>
        <w:rPr>
          <w:sz w:val="20"/>
          <w:szCs w:val="20"/>
          <w:lang w:val="uk-UA"/>
        </w:rPr>
        <w:t>і</w:t>
      </w:r>
      <w:r>
        <w:rPr>
          <w:sz w:val="20"/>
          <w:szCs w:val="20"/>
          <w:lang w:val="uk-UA"/>
        </w:rPr>
        <w:t xml:space="preserve"> з електропостачанням будинку, </w:t>
      </w:r>
      <w:r>
        <w:rPr>
          <w:sz w:val="20"/>
          <w:szCs w:val="20"/>
          <w:lang w:val="uk-UA"/>
        </w:rPr>
        <w:t>згідно з вимогами пункту 7.9 Методичних рекомендацій, визначають</w:t>
      </w:r>
      <w:r>
        <w:rPr>
          <w:sz w:val="20"/>
          <w:szCs w:val="20"/>
          <w:lang w:val="uk-UA"/>
        </w:rPr>
        <w:t xml:space="preserve"> як суму втрат у зовнішній живильній мережі </w:t>
      </w:r>
      <w:r>
        <w:rPr>
          <w:sz w:val="20"/>
          <w:szCs w:val="20"/>
          <w:lang w:val="uk-UA"/>
        </w:rPr>
        <w:t xml:space="preserve">та </w:t>
      </w:r>
      <w:r>
        <w:rPr>
          <w:sz w:val="20"/>
          <w:szCs w:val="20"/>
          <w:lang w:val="uk-UA"/>
        </w:rPr>
        <w:t>внутрішн</w:t>
      </w:r>
      <w:r>
        <w:rPr>
          <w:sz w:val="20"/>
          <w:szCs w:val="20"/>
          <w:lang w:val="uk-UA"/>
        </w:rPr>
        <w:t>іх</w:t>
      </w:r>
      <w:r>
        <w:rPr>
          <w:sz w:val="20"/>
          <w:szCs w:val="20"/>
          <w:lang w:val="uk-UA"/>
        </w:rPr>
        <w:t xml:space="preserve"> мереж</w:t>
      </w:r>
      <w:r>
        <w:rPr>
          <w:sz w:val="20"/>
          <w:szCs w:val="20"/>
          <w:lang w:val="uk-UA"/>
        </w:rPr>
        <w:t>ах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багатоповерхових житлових (офісних) будинків.</w:t>
      </w:r>
    </w:p>
    <w:p w14:paraId="26B0A9B9" w14:textId="77777777">
      <w:pPr>
        <w:tabs>
          <w:tab w:val="left" w:pos="0"/>
        </w:tabs>
        <w:spacing w:line="216" w:lineRule="auto"/>
        <w:ind w:right="170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Втрати електричної енергії у внутрішніх мережах багатоповерхових житлових (офісних) будинків потрібно обчислювати для кожного із вводів як різницю одночасних показів лічильника електричної енергії, встановленого на вводі у житловий будинок і лічильників, за якими здійснюють облік електроенергії на внутрішньобудинкові потреби (освітлення сходів, сходових клітин, коридорів і технічних поверхів; потреби водопостачання і теплопостачання; світлозагорожа; робота ліфтів тощо) та у фізичних (юридичних) осіб цього будинку.</w:t>
      </w:r>
    </w:p>
    <w:p w14:paraId="626BE17E" w14:textId="77777777">
      <w:pPr>
        <w:tabs>
          <w:tab w:val="left" w:pos="0"/>
        </w:tabs>
        <w:spacing w:line="216" w:lineRule="auto"/>
        <w:ind w:right="170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У разі відсутності лічильника на вводі у багатоповерховий житловий (офісний) будинок або лічильника обліку внутрішньобудинкових потреб або неможливості одночасного зчитування показів лічильників, значення втрат електричної енергії, пов’язаних із електропостачанням будинку, розраховують як суму втрат у зовнішній живильній мережі</w:t>
      </w:r>
      <w:r>
        <w:rPr>
          <w:sz w:val="20"/>
          <w:szCs w:val="20"/>
          <w:lang w:val="uk-UA"/>
        </w:rPr>
        <w:t>,</w:t>
      </w:r>
      <w:r>
        <w:rPr>
          <w:sz w:val="20"/>
          <w:szCs w:val="20"/>
          <w:lang w:val="uk-UA"/>
        </w:rPr>
        <w:t xml:space="preserve"> внутрішньобудинковій мережі живлення споживачів (квартир, офісів тощо</w:t>
      </w:r>
      <w:r>
        <w:rPr>
          <w:sz w:val="20"/>
          <w:szCs w:val="20"/>
          <w:lang w:val="uk-UA"/>
        </w:rPr>
        <w:t>)</w:t>
      </w:r>
      <w:r>
        <w:rPr>
          <w:sz w:val="20"/>
          <w:szCs w:val="20"/>
          <w:lang w:val="uk-UA"/>
        </w:rPr>
        <w:t>, втрат у лічильниках електричної енергії та втрат в опорах контактних з’єднань відгалужень до лічильників.</w:t>
      </w:r>
    </w:p>
    <w:p w14:paraId="5FB67CF5" w14:textId="1C6721D3">
      <w:pPr>
        <w:spacing w:line="216" w:lineRule="auto"/>
        <w:ind w:right="170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.1.</w:t>
      </w:r>
      <w:r>
        <w:rPr>
          <w:sz w:val="20"/>
          <w:szCs w:val="20"/>
          <w:lang w:val="uk-UA"/>
        </w:rPr>
        <w:t xml:space="preserve"> Втрати активної електроенергії в кВт·год у зовніш</w:t>
      </w:r>
      <w:r>
        <w:rPr>
          <w:sz w:val="20"/>
          <w:szCs w:val="20"/>
          <w:lang w:val="uk-UA"/>
        </w:rPr>
        <w:t>ній мережі обчислюють за формулами.</w:t>
      </w:r>
    </w:p>
    <w:p w14:paraId="76E4A934" w14:textId="3B896861">
      <w:pPr>
        <w:spacing w:line="216" w:lineRule="auto"/>
        <w:ind w:right="170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.1.1.</w:t>
      </w:r>
      <w:r>
        <w:rPr>
          <w:sz w:val="20"/>
          <w:szCs w:val="20"/>
          <w:lang w:val="uk-UA"/>
        </w:rPr>
        <w:t xml:space="preserve"> У разі </w:t>
      </w:r>
      <w:r>
        <w:rPr>
          <w:sz w:val="20"/>
          <w:szCs w:val="20"/>
          <w:lang w:val="uk-UA"/>
        </w:rPr>
        <w:t>встановлення окремих лічильників на внутрішньобудинкові потреби, а загальнобудинковий облік (або облік по під’їздам) відсутній</w:t>
      </w:r>
      <w:r>
        <w:rPr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uk-UA"/>
        </w:rPr>
        <w:t>(«ВП»)</w:t>
      </w:r>
      <w:r>
        <w:rPr>
          <w:sz w:val="20"/>
          <w:szCs w:val="20"/>
          <w:lang w:val="uk-UA"/>
        </w:rPr>
        <w:t>:</w:t>
      </w:r>
    </w:p>
    <w:p w14:paraId="3D3C26CD" w14:textId="77777777">
      <w:pPr>
        <w:spacing w:line="216" w:lineRule="auto"/>
        <w:ind w:right="170" w:firstLine="567"/>
        <w:jc w:val="center"/>
        <w:rPr>
          <w:position w:val="-30"/>
          <w:sz w:val="20"/>
          <w:szCs w:val="20"/>
          <w:lang w:val="uk-UA"/>
        </w:rPr>
      </w:pPr>
      <w:r>
        <w:rPr>
          <w:position w:val="-30"/>
          <w:sz w:val="20"/>
          <w:szCs w:val="20"/>
          <w:lang w:val="uk-UA"/>
        </w:rPr>
        <w:object w:dxaOrig="5220" w:dyaOrig="1100" w14:anchorId="304B8E67">
          <v:shape id="_x0000_i1075" type="#_x0000_t75" style="width:269.25pt;height:57.75pt" o:ole="">
            <v:imagedata r:id="rId104" o:title=""/>
          </v:shape>
          <o:OLEObject Type="Embed" ProgID="Equation.3" ShapeID="_x0000_i1075" DrawAspect="Content" ObjectID="_1643102446" r:id="rId105"/>
        </w:object>
      </w:r>
    </w:p>
    <w:p w14:paraId="47A96A80" w14:textId="21762B14">
      <w:pPr>
        <w:spacing w:line="216" w:lineRule="auto"/>
        <w:ind w:right="170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.1.2.</w:t>
      </w:r>
      <w:r>
        <w:rPr>
          <w:sz w:val="20"/>
          <w:szCs w:val="20"/>
          <w:lang w:val="uk-UA"/>
        </w:rPr>
        <w:t xml:space="preserve"> У разі встановлення загальнобудинкового обліку (або обліку по під’їздам) та відсутності лічильників на внутрішньобудинкові потреби </w:t>
      </w:r>
      <w:r>
        <w:rPr>
          <w:b/>
          <w:sz w:val="20"/>
          <w:szCs w:val="20"/>
          <w:lang w:val="uk-UA"/>
        </w:rPr>
        <w:t>(«ЗБ»)</w:t>
      </w:r>
      <w:r>
        <w:rPr>
          <w:sz w:val="20"/>
          <w:szCs w:val="20"/>
          <w:lang w:val="uk-UA"/>
        </w:rPr>
        <w:t xml:space="preserve"> або </w:t>
      </w:r>
      <w:r>
        <w:rPr>
          <w:sz w:val="20"/>
          <w:szCs w:val="20"/>
          <w:lang w:val="uk-UA"/>
        </w:rPr>
        <w:t xml:space="preserve">у разі встановлення загальнобудинкового обліку (або обліку по під’їздам) та лічильників на внутрішньобудинкові потреби </w:t>
      </w:r>
      <w:r>
        <w:rPr>
          <w:b/>
          <w:sz w:val="20"/>
          <w:szCs w:val="20"/>
          <w:lang w:val="uk-UA"/>
        </w:rPr>
        <w:t xml:space="preserve">(«ЗБ ВП») </w:t>
      </w:r>
      <w:r>
        <w:rPr>
          <w:sz w:val="20"/>
          <w:szCs w:val="20"/>
          <w:lang w:val="uk-UA"/>
        </w:rPr>
        <w:t xml:space="preserve">та </w:t>
      </w:r>
      <w:r>
        <w:rPr>
          <w:sz w:val="20"/>
          <w:szCs w:val="20"/>
          <w:lang w:val="uk-UA"/>
        </w:rPr>
        <w:t>неможливості одночасного зчитування зчитування показів з лічильників споживачів:</w:t>
      </w:r>
    </w:p>
    <w:p w14:paraId="49679D25" w14:textId="77777777">
      <w:pPr>
        <w:spacing w:line="216" w:lineRule="auto"/>
        <w:ind w:right="170" w:firstLine="567"/>
        <w:jc w:val="center"/>
        <w:rPr>
          <w:sz w:val="20"/>
          <w:szCs w:val="20"/>
          <w:lang w:val="uk-UA"/>
        </w:rPr>
      </w:pPr>
      <w:r>
        <w:rPr>
          <w:position w:val="-30"/>
          <w:sz w:val="20"/>
          <w:szCs w:val="20"/>
          <w:lang w:val="uk-UA"/>
        </w:rPr>
        <w:object w:dxaOrig="3800" w:dyaOrig="760" w14:anchorId="5DA2D07F">
          <v:shape id="_x0000_i1076" type="#_x0000_t75" style="width:205.5pt;height:41.25pt" o:ole="">
            <v:imagedata r:id="rId106" o:title=""/>
          </v:shape>
          <o:OLEObject Type="Embed" ProgID="Equation.3" ShapeID="_x0000_i1076" DrawAspect="Content" ObjectID="_1643102447" r:id="rId107"/>
        </w:object>
      </w:r>
    </w:p>
    <w:p w14:paraId="27047CD2" w14:textId="4D5F6FF0">
      <w:pPr>
        <w:spacing w:line="216" w:lineRule="auto"/>
        <w:ind w:right="170" w:firstLine="567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.1.3.</w:t>
      </w:r>
      <w:r>
        <w:rPr>
          <w:sz w:val="20"/>
          <w:szCs w:val="20"/>
          <w:lang w:val="uk-UA"/>
        </w:rPr>
        <w:t xml:space="preserve"> У разі відсутності будь-якого загальнобудинкового обліку е\е та відсутності лічильників на внутрішньобудинкові потреби </w:t>
      </w:r>
      <w:r>
        <w:rPr>
          <w:b/>
          <w:sz w:val="20"/>
          <w:szCs w:val="20"/>
          <w:lang w:val="uk-UA"/>
        </w:rPr>
        <w:t>(«О/Б»):</w:t>
      </w:r>
    </w:p>
    <w:p w14:paraId="723538BC" w14:textId="77777777">
      <w:pPr>
        <w:spacing w:line="216" w:lineRule="auto"/>
        <w:ind w:right="170" w:firstLine="567"/>
        <w:jc w:val="center"/>
        <w:rPr>
          <w:sz w:val="26"/>
          <w:szCs w:val="26"/>
          <w:lang w:val="uk-UA"/>
        </w:rPr>
      </w:pPr>
      <w:r>
        <w:rPr>
          <w:position w:val="-30"/>
          <w:sz w:val="26"/>
          <w:szCs w:val="26"/>
          <w:lang w:val="uk-UA"/>
        </w:rPr>
        <w:object w:dxaOrig="3760" w:dyaOrig="1100" w14:anchorId="4A257220">
          <v:shape id="_x0000_i1077" type="#_x0000_t75" style="width:193.5pt;height:57.75pt" o:ole="">
            <v:imagedata r:id="rId108" o:title=""/>
          </v:shape>
          <o:OLEObject Type="Embed" ProgID="Equation.3" ShapeID="_x0000_i1077" DrawAspect="Content" ObjectID="_1643102448" r:id="rId109"/>
        </w:object>
      </w:r>
    </w:p>
    <w:p w14:paraId="7ECE8A31" w14:textId="61562393">
      <w:pPr>
        <w:spacing w:line="216" w:lineRule="auto"/>
        <w:ind w:right="29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.1.4.</w:t>
      </w:r>
      <w:r>
        <w:rPr>
          <w:sz w:val="20"/>
          <w:szCs w:val="20"/>
          <w:lang w:val="uk-UA"/>
        </w:rPr>
        <w:t xml:space="preserve"> Вихідні дані для розрахунку втрат </w:t>
      </w:r>
      <w:r>
        <w:rPr>
          <w:sz w:val="20"/>
          <w:szCs w:val="20"/>
          <w:lang w:val="uk-UA"/>
        </w:rPr>
        <w:t xml:space="preserve">в зовнішній мережі </w:t>
      </w:r>
      <w:r>
        <w:rPr>
          <w:sz w:val="20"/>
          <w:szCs w:val="20"/>
          <w:lang w:val="uk-UA"/>
        </w:rPr>
        <w:t>наведені в Т</w:t>
      </w:r>
      <w:r>
        <w:rPr>
          <w:sz w:val="20"/>
          <w:szCs w:val="20"/>
          <w:lang w:val="uk-UA"/>
        </w:rPr>
        <w:t>аблиці 2</w:t>
      </w:r>
      <w:r>
        <w:rPr>
          <w:sz w:val="20"/>
          <w:szCs w:val="20"/>
          <w:lang w:val="uk-UA"/>
        </w:rPr>
        <w:t xml:space="preserve"> П</w:t>
      </w:r>
      <w:r>
        <w:rPr>
          <w:sz w:val="20"/>
          <w:szCs w:val="20"/>
          <w:lang w:val="uk-UA"/>
        </w:rPr>
        <w:t>родовження Додатка 8</w:t>
      </w:r>
      <w:r>
        <w:rPr>
          <w:sz w:val="20"/>
          <w:szCs w:val="20"/>
          <w:lang w:val="uk-UA"/>
        </w:rPr>
        <w:t>.</w:t>
      </w:r>
    </w:p>
    <w:p w14:paraId="54986A6B" w14:textId="77777777">
      <w:pPr>
        <w:spacing w:line="216" w:lineRule="auto"/>
        <w:ind w:right="170" w:firstLine="567"/>
        <w:jc w:val="both"/>
        <w:rPr>
          <w:sz w:val="20"/>
          <w:szCs w:val="20"/>
          <w:lang w:val="uk-UA"/>
        </w:rPr>
      </w:pPr>
    </w:p>
    <w:p w14:paraId="76376502" w14:textId="409FB2FE">
      <w:pPr>
        <w:spacing w:line="216" w:lineRule="auto"/>
        <w:ind w:right="-538" w:firstLine="113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</w:t>
      </w:r>
      <w:r>
        <w:rPr>
          <w:sz w:val="20"/>
          <w:szCs w:val="20"/>
          <w:lang w:val="uk-UA"/>
        </w:rPr>
        <w:t xml:space="preserve"> Втрати активної електроенергії в кВт·год у внутрішньобудинковій мережі обчислюють за формулами.</w:t>
      </w:r>
    </w:p>
    <w:p w14:paraId="462AEB46" w14:textId="49A28607">
      <w:pPr>
        <w:tabs>
          <w:tab w:val="left" w:pos="9923"/>
        </w:tabs>
        <w:spacing w:line="216" w:lineRule="auto"/>
        <w:ind w:left="567" w:right="-396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2.1.</w:t>
      </w:r>
      <w:r>
        <w:rPr>
          <w:sz w:val="20"/>
          <w:szCs w:val="20"/>
          <w:lang w:val="uk-UA"/>
        </w:rPr>
        <w:t xml:space="preserve"> У разі встановлення окремих лічильників на внутрішньобудинкові потреби, а загальнобудинковий облік (або облік по під’їздам) відсутній </w:t>
      </w:r>
      <w:r>
        <w:rPr>
          <w:b/>
          <w:sz w:val="20"/>
          <w:szCs w:val="20"/>
          <w:lang w:val="uk-UA"/>
        </w:rPr>
        <w:t>(«ВП»)</w:t>
      </w:r>
      <w:r>
        <w:rPr>
          <w:sz w:val="20"/>
          <w:szCs w:val="20"/>
          <w:lang w:val="uk-UA"/>
        </w:rPr>
        <w:t>:</w:t>
      </w:r>
    </w:p>
    <w:p w14:paraId="7790A57B" w14:textId="77777777">
      <w:pPr>
        <w:spacing w:line="216" w:lineRule="auto"/>
        <w:ind w:firstLine="284"/>
        <w:jc w:val="center"/>
        <w:rPr>
          <w:position w:val="-32"/>
          <w:sz w:val="26"/>
          <w:szCs w:val="26"/>
          <w:lang w:val="uk-UA"/>
        </w:rPr>
      </w:pPr>
      <w:r>
        <w:rPr>
          <w:position w:val="-30"/>
          <w:sz w:val="26"/>
          <w:szCs w:val="26"/>
          <w:lang w:val="uk-UA"/>
        </w:rPr>
        <w:object w:dxaOrig="5060" w:dyaOrig="1100" w14:anchorId="1998153C">
          <v:shape id="_x0000_i1078" type="#_x0000_t75" style="width:261.75pt;height:57.75pt" o:ole="">
            <v:imagedata r:id="rId110" o:title=""/>
          </v:shape>
          <o:OLEObject Type="Embed" ProgID="Equation.3" ShapeID="_x0000_i1078" DrawAspect="Content" ObjectID="_1643102449" r:id="rId111"/>
        </w:object>
      </w:r>
    </w:p>
    <w:p w14:paraId="032963B6" w14:textId="7AFC8684">
      <w:pPr>
        <w:spacing w:line="216" w:lineRule="auto"/>
        <w:ind w:left="709" w:right="-539" w:firstLine="425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.2.</w:t>
      </w:r>
      <w:r>
        <w:rPr>
          <w:sz w:val="20"/>
          <w:szCs w:val="20"/>
          <w:lang w:val="uk-UA"/>
        </w:rPr>
        <w:t xml:space="preserve"> У разі встановлення загальнобудинкового о</w:t>
      </w:r>
      <w:r>
        <w:rPr>
          <w:sz w:val="20"/>
          <w:szCs w:val="20"/>
          <w:lang w:val="uk-UA"/>
        </w:rPr>
        <w:t>бліку (або обліку по під’їздам)</w:t>
      </w:r>
      <w:r>
        <w:rPr>
          <w:sz w:val="20"/>
          <w:szCs w:val="20"/>
          <w:lang w:val="uk-UA"/>
        </w:rPr>
        <w:t xml:space="preserve"> та</w:t>
      </w:r>
      <w:r>
        <w:rPr>
          <w:sz w:val="20"/>
          <w:szCs w:val="20"/>
          <w:lang w:val="uk-UA"/>
        </w:rPr>
        <w:t xml:space="preserve"> лічильників на внутрішньобудинкові потреби </w:t>
      </w:r>
      <w:r>
        <w:rPr>
          <w:b/>
          <w:sz w:val="20"/>
          <w:szCs w:val="20"/>
          <w:lang w:val="uk-UA"/>
        </w:rPr>
        <w:t>(«ЗБ</w:t>
      </w:r>
      <w:r>
        <w:rPr>
          <w:b/>
          <w:sz w:val="20"/>
          <w:szCs w:val="20"/>
          <w:lang w:val="uk-UA"/>
        </w:rPr>
        <w:t xml:space="preserve"> ВП</w:t>
      </w:r>
      <w:r>
        <w:rPr>
          <w:b/>
          <w:sz w:val="20"/>
          <w:szCs w:val="20"/>
          <w:lang w:val="uk-UA"/>
        </w:rPr>
        <w:t>»)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у разі</w:t>
      </w:r>
      <w:r>
        <w:rPr>
          <w:sz w:val="20"/>
          <w:szCs w:val="20"/>
          <w:lang w:val="uk-UA"/>
        </w:rPr>
        <w:t xml:space="preserve"> неможливості одночасного зчитування показів з лічильників споживачів:</w:t>
      </w:r>
    </w:p>
    <w:p w14:paraId="65E2F2B0" w14:textId="77777777">
      <w:pPr>
        <w:tabs>
          <w:tab w:val="left" w:pos="709"/>
        </w:tabs>
        <w:spacing w:line="216" w:lineRule="auto"/>
        <w:ind w:firstLine="284"/>
        <w:jc w:val="center"/>
        <w:rPr>
          <w:sz w:val="26"/>
          <w:szCs w:val="26"/>
          <w:lang w:val="uk-UA"/>
        </w:rPr>
      </w:pPr>
      <w:r>
        <w:rPr>
          <w:position w:val="-48"/>
          <w:sz w:val="26"/>
          <w:szCs w:val="26"/>
          <w:lang w:val="uk-UA"/>
        </w:rPr>
        <w:object w:dxaOrig="5760" w:dyaOrig="1080" w14:anchorId="7A736FF1">
          <v:shape id="_x0000_i1079" type="#_x0000_t75" style="width:284.25pt;height:54pt" o:ole="">
            <v:imagedata r:id="rId112" o:title=""/>
          </v:shape>
          <o:OLEObject Type="Embed" ProgID="Equation.3" ShapeID="_x0000_i1079" DrawAspect="Content" ObjectID="_1643102450" r:id="rId113"/>
        </w:object>
      </w:r>
    </w:p>
    <w:p w14:paraId="4E854545" w14:textId="44C17D33">
      <w:pPr>
        <w:tabs>
          <w:tab w:val="left" w:pos="709"/>
        </w:tabs>
        <w:spacing w:line="216" w:lineRule="auto"/>
        <w:ind w:left="709" w:right="-539" w:firstLine="425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2.3.</w:t>
      </w:r>
      <w:r>
        <w:rPr>
          <w:sz w:val="20"/>
          <w:szCs w:val="20"/>
          <w:lang w:val="uk-UA"/>
        </w:rPr>
        <w:t xml:space="preserve"> У разі відсутності будь-якого загальнобудинкового обліку е\е та відсутності лічильників на внутрішньобудинкові потреби </w:t>
      </w:r>
      <w:r>
        <w:rPr>
          <w:b/>
          <w:sz w:val="20"/>
          <w:szCs w:val="20"/>
          <w:lang w:val="uk-UA"/>
        </w:rPr>
        <w:t>(«О/Б»)</w:t>
      </w:r>
      <w:r>
        <w:rPr>
          <w:b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або встановлення загальнобудинкового обліку (або обліку по під’їздам) та відсутності лічильників на внутрішньобудинкові потреби </w:t>
      </w:r>
      <w:r>
        <w:rPr>
          <w:b/>
          <w:sz w:val="20"/>
          <w:szCs w:val="20"/>
          <w:lang w:val="uk-UA"/>
        </w:rPr>
        <w:t>(«ЗБ»)</w:t>
      </w:r>
      <w:r>
        <w:rPr>
          <w:sz w:val="20"/>
          <w:szCs w:val="20"/>
          <w:lang w:val="uk-UA"/>
        </w:rPr>
        <w:t>:</w:t>
      </w:r>
    </w:p>
    <w:p w14:paraId="69BF5828" w14:textId="77777777">
      <w:pPr>
        <w:tabs>
          <w:tab w:val="left" w:pos="709"/>
        </w:tabs>
        <w:spacing w:line="216" w:lineRule="auto"/>
        <w:ind w:firstLine="284"/>
        <w:jc w:val="center"/>
        <w:rPr>
          <w:position w:val="-72"/>
          <w:sz w:val="26"/>
          <w:szCs w:val="26"/>
          <w:lang w:val="uk-UA"/>
        </w:rPr>
      </w:pPr>
      <w:r>
        <w:rPr>
          <w:position w:val="-70"/>
          <w:sz w:val="26"/>
          <w:szCs w:val="26"/>
          <w:lang w:val="uk-UA"/>
        </w:rPr>
        <w:object w:dxaOrig="5720" w:dyaOrig="1520" w14:anchorId="399A65E4">
          <v:shape id="_x0000_i1080" type="#_x0000_t75" style="width:296.25pt;height:77.25pt" o:ole="">
            <v:imagedata r:id="rId114" o:title=""/>
          </v:shape>
          <o:OLEObject Type="Embed" ProgID="Equation.3" ShapeID="_x0000_i1080" DrawAspect="Content" ObjectID="_1643102451" r:id="rId115"/>
        </w:object>
      </w:r>
    </w:p>
    <w:p w14:paraId="6CA5EC8A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position w:val="-12"/>
          <w:sz w:val="20"/>
          <w:szCs w:val="20"/>
          <w:lang w:val="uk-UA"/>
        </w:rPr>
        <w:object w:dxaOrig="499" w:dyaOrig="380" w14:anchorId="7343A0AF">
          <v:shape id="_x0000_i1081" type="#_x0000_t75" style="width:26.25pt;height:21.75pt" o:ole="">
            <v:imagedata r:id="rId116" o:title=""/>
          </v:shape>
          <o:OLEObject Type="Embed" ProgID="Equation.3" ShapeID="_x0000_i1081" DrawAspect="Content" ObjectID="_1643102452" r:id="rId117"/>
        </w:object>
      </w:r>
      <w:r>
        <w:rPr>
          <w:sz w:val="20"/>
          <w:szCs w:val="20"/>
          <w:lang w:val="uk-UA"/>
        </w:rPr>
        <w:t xml:space="preserve"> – споживання активної енергії на внутрішньобудинкові потреби протягом розрахункового періоду, кВт·год;</w:t>
      </w:r>
    </w:p>
    <w:p w14:paraId="34706D8F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4"/>
          <w:sz w:val="20"/>
          <w:szCs w:val="20"/>
          <w:lang w:val="uk-UA"/>
        </w:rPr>
        <w:object w:dxaOrig="499" w:dyaOrig="400" w14:anchorId="04785702">
          <v:shape id="_x0000_i1082" type="#_x0000_t75" style="width:26.25pt;height:21.75pt" o:ole="">
            <v:imagedata r:id="rId118" o:title=""/>
          </v:shape>
          <o:OLEObject Type="Embed" ProgID="Equation.3" ShapeID="_x0000_i1082" DrawAspect="Content" ObjectID="_1643102453" r:id="rId119"/>
        </w:object>
      </w:r>
      <w:r>
        <w:rPr>
          <w:sz w:val="20"/>
          <w:szCs w:val="20"/>
          <w:lang w:val="uk-UA"/>
        </w:rPr>
        <w:t xml:space="preserve"> – споживання активної енергії </w:t>
      </w:r>
      <w:r>
        <w:rPr>
          <w:i/>
          <w:sz w:val="20"/>
          <w:szCs w:val="20"/>
          <w:lang w:val="uk-UA"/>
        </w:rPr>
        <w:t>т</w:t>
      </w:r>
      <w:r>
        <w:rPr>
          <w:sz w:val="20"/>
          <w:szCs w:val="20"/>
          <w:lang w:val="uk-UA"/>
        </w:rPr>
        <w:t xml:space="preserve">-м споживачем  </w:t>
      </w:r>
      <w:r>
        <w:rPr>
          <w:i/>
          <w:sz w:val="20"/>
          <w:szCs w:val="20"/>
          <w:lang w:val="uk-UA"/>
        </w:rPr>
        <w:t>k</w:t>
      </w:r>
      <w:r>
        <w:rPr>
          <w:sz w:val="20"/>
          <w:szCs w:val="20"/>
          <w:lang w:val="uk-UA"/>
        </w:rPr>
        <w:t>-го стояка  протягом розрахункового періоду, кВт·год;</w:t>
      </w:r>
    </w:p>
    <w:p w14:paraId="5827D180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499" w:dyaOrig="380" w14:anchorId="17AE9DE7">
          <v:shape id="_x0000_i1083" type="#_x0000_t75" style="width:26.25pt;height:21.75pt" o:ole="">
            <v:imagedata r:id="rId120" o:title=""/>
          </v:shape>
          <o:OLEObject Type="Embed" ProgID="Equation.3" ShapeID="_x0000_i1083" DrawAspect="Content" ObjectID="_1643102454" r:id="rId121"/>
        </w:object>
      </w:r>
      <w:r>
        <w:rPr>
          <w:sz w:val="20"/>
          <w:szCs w:val="20"/>
          <w:lang w:val="uk-UA"/>
        </w:rPr>
        <w:t xml:space="preserve"> – споживання реактивної енергії на внутрішньобудинкові потреби протягом розрахункового періоду, кВАр·год;</w:t>
      </w:r>
    </w:p>
    <w:p w14:paraId="0A9D1171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0"/>
          <w:sz w:val="20"/>
          <w:szCs w:val="20"/>
          <w:lang w:val="uk-UA"/>
        </w:rPr>
        <w:object w:dxaOrig="300" w:dyaOrig="360" w14:anchorId="20EC66E9">
          <v:shape id="_x0000_i1084" type="#_x0000_t75" style="width:18pt;height:19.5pt" o:ole="">
            <v:imagedata r:id="rId122" o:title=""/>
          </v:shape>
          <o:OLEObject Type="Embed" ProgID="Equation.3" ShapeID="_x0000_i1084" DrawAspect="Content" ObjectID="_1643102455" r:id="rId123"/>
        </w:object>
      </w:r>
      <w:r>
        <w:rPr>
          <w:sz w:val="20"/>
          <w:szCs w:val="20"/>
          <w:lang w:val="uk-UA"/>
        </w:rPr>
        <w:t xml:space="preserve">  – коефіцієнт форми графіка навантаження; </w:t>
      </w:r>
    </w:p>
    <w:p w14:paraId="46B2CBC8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279" w:dyaOrig="360" w14:anchorId="2834B0C5">
          <v:shape id="_x0000_i1085" type="#_x0000_t75" style="width:15.75pt;height:19.5pt" o:ole="">
            <v:imagedata r:id="rId124" o:title=""/>
          </v:shape>
          <o:OLEObject Type="Embed" ProgID="Equation.3" ShapeID="_x0000_i1085" DrawAspect="Content" ObjectID="_1643102456" r:id="rId125"/>
        </w:object>
      </w:r>
      <w:r>
        <w:rPr>
          <w:sz w:val="20"/>
          <w:szCs w:val="20"/>
          <w:lang w:val="uk-UA"/>
        </w:rPr>
        <w:t xml:space="preserve"> – питомий активний опір кабелю (проводу) зовнішньої мережі, Ом/км;</w:t>
      </w:r>
    </w:p>
    <w:p w14:paraId="5440862E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200" w:dyaOrig="360" w14:anchorId="086E2AEB">
          <v:shape id="_x0000_i1086" type="#_x0000_t75" style="width:11.25pt;height:19.5pt" o:ole="">
            <v:imagedata r:id="rId126" o:title=""/>
          </v:shape>
          <o:OLEObject Type="Embed" ProgID="Equation.3" ShapeID="_x0000_i1086" DrawAspect="Content" ObjectID="_1643102457" r:id="rId127"/>
        </w:object>
      </w:r>
      <w:r>
        <w:rPr>
          <w:sz w:val="20"/>
          <w:szCs w:val="20"/>
          <w:lang w:val="uk-UA"/>
        </w:rPr>
        <w:t xml:space="preserve"> – довжина кабелю (проводу) зовнішньої мережі, км; </w:t>
      </w:r>
    </w:p>
    <w:p w14:paraId="4A687A56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4"/>
          <w:sz w:val="20"/>
          <w:szCs w:val="20"/>
          <w:lang w:val="uk-UA"/>
        </w:rPr>
        <w:object w:dxaOrig="220" w:dyaOrig="240" w14:anchorId="05713970">
          <v:shape id="_x0000_i1087" type="#_x0000_t75" style="width:12.75pt;height:12.75pt" o:ole="">
            <v:imagedata r:id="rId128" o:title=""/>
          </v:shape>
          <o:OLEObject Type="Embed" ProgID="Equation.3" ShapeID="_x0000_i1087" DrawAspect="Content" ObjectID="_1643102458" r:id="rId129"/>
        </w:object>
      </w:r>
      <w:r>
        <w:rPr>
          <w:sz w:val="20"/>
          <w:szCs w:val="20"/>
          <w:lang w:val="uk-UA"/>
        </w:rPr>
        <w:t xml:space="preserve"> – тривалість розрахункового періоду, годин;</w:t>
      </w:r>
    </w:p>
    <w:p w14:paraId="252A171A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6"/>
          <w:sz w:val="20"/>
          <w:szCs w:val="20"/>
          <w:lang w:val="uk-UA"/>
        </w:rPr>
        <w:object w:dxaOrig="260" w:dyaOrig="220" w14:anchorId="63B53CC6">
          <v:shape id="_x0000_i1088" type="#_x0000_t75" style="width:12pt;height:11.25pt" o:ole="">
            <v:imagedata r:id="rId130" o:title=""/>
          </v:shape>
          <o:OLEObject Type="Embed" ProgID="Equation.3" ShapeID="_x0000_i1088" DrawAspect="Content" ObjectID="_1643102459" r:id="rId131"/>
        </w:object>
      </w:r>
      <w:r>
        <w:rPr>
          <w:sz w:val="20"/>
          <w:szCs w:val="20"/>
          <w:lang w:val="uk-UA"/>
        </w:rPr>
        <w:t>- кількість квартир (офісів), приєднаних до стояка;</w:t>
      </w:r>
    </w:p>
    <w:p w14:paraId="5AC4FC76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6"/>
          <w:sz w:val="20"/>
          <w:szCs w:val="20"/>
          <w:lang w:val="uk-UA"/>
        </w:rPr>
        <w:object w:dxaOrig="200" w:dyaOrig="279" w14:anchorId="3AE975E3">
          <v:shape id="_x0000_i1089" type="#_x0000_t75" style="width:10.5pt;height:14.25pt" o:ole="">
            <v:imagedata r:id="rId132" o:title=""/>
          </v:shape>
          <o:OLEObject Type="Embed" ProgID="Equation.3" ShapeID="_x0000_i1089" DrawAspect="Content" ObjectID="_1643102460" r:id="rId133"/>
        </w:object>
      </w:r>
      <w:r>
        <w:rPr>
          <w:sz w:val="20"/>
          <w:szCs w:val="20"/>
          <w:lang w:val="uk-UA"/>
        </w:rPr>
        <w:t>– кількість стояків.</w:t>
      </w:r>
    </w:p>
    <w:p w14:paraId="521627AA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6"/>
          <w:sz w:val="20"/>
          <w:szCs w:val="20"/>
          <w:lang w:val="uk-UA"/>
        </w:rPr>
        <w:object w:dxaOrig="680" w:dyaOrig="580" w14:anchorId="295C45E8">
          <v:shape id="_x0000_i1090" type="#_x0000_t75" style="width:30.75pt;height:25.5pt" o:ole="">
            <v:imagedata r:id="rId134" o:title=""/>
          </v:shape>
          <o:OLEObject Type="Embed" ProgID="Equation.DSMT4" ShapeID="_x0000_i1090" DrawAspect="Content" ObjectID="_1643102461" r:id="rId135"/>
        </w:object>
      </w:r>
      <w:r>
        <w:rPr>
          <w:sz w:val="20"/>
          <w:szCs w:val="20"/>
          <w:lang w:val="uk-UA"/>
        </w:rPr>
        <w:t xml:space="preserve"> – споживання активної енергії протягом розрахункового періоду за показами лічильника на вводі у будинок, кВт·год</w:t>
      </w:r>
    </w:p>
    <w:p w14:paraId="36FC74B5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560" w:dyaOrig="380" w14:anchorId="53F290D9">
          <v:shape id="_x0000_i1091" type="#_x0000_t75" style="width:30pt;height:21.75pt" o:ole="">
            <v:imagedata r:id="rId136" o:title=""/>
          </v:shape>
          <o:OLEObject Type="Embed" ProgID="Equation.3" ShapeID="_x0000_i1091" DrawAspect="Content" ObjectID="_1643102462" r:id="rId137"/>
        </w:object>
      </w:r>
      <w:r>
        <w:rPr>
          <w:sz w:val="20"/>
          <w:szCs w:val="20"/>
          <w:lang w:val="uk-UA"/>
        </w:rPr>
        <w:t xml:space="preserve"> – споживання реактивної енергії на внутрішньобудинкові потреби протягом розрахункового періоду, кВАр·год;</w:t>
      </w:r>
    </w:p>
    <w:p w14:paraId="0E161654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cos φ = 0,9 – середній коефіцієнт потужності у зовнішній мережі.</w:t>
      </w:r>
    </w:p>
    <w:p w14:paraId="00634E70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400" w:dyaOrig="360" w14:anchorId="1BABBE2F">
          <v:shape id="_x0000_i1092" type="#_x0000_t75" style="width:21.75pt;height:19.5pt" o:ole="">
            <v:imagedata r:id="rId138" o:title=""/>
          </v:shape>
          <o:OLEObject Type="Embed" ProgID="Equation.3" ShapeID="_x0000_i1092" DrawAspect="Content" ObjectID="_1643102463" r:id="rId139"/>
        </w:object>
      </w:r>
      <w:r>
        <w:rPr>
          <w:sz w:val="20"/>
          <w:szCs w:val="20"/>
          <w:lang w:val="uk-UA"/>
        </w:rPr>
        <w:t xml:space="preserve">  - питомий активний опір кабелю (проводу) </w:t>
      </w:r>
      <w:r>
        <w:rPr>
          <w:i/>
          <w:sz w:val="20"/>
          <w:szCs w:val="20"/>
          <w:lang w:val="uk-UA"/>
        </w:rPr>
        <w:t>k</w:t>
      </w:r>
      <w:r>
        <w:rPr>
          <w:sz w:val="20"/>
          <w:szCs w:val="20"/>
          <w:lang w:val="uk-UA"/>
        </w:rPr>
        <w:t>-го стояка, Ом/км;</w:t>
      </w:r>
    </w:p>
    <w:p w14:paraId="7CC4E1D2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340" w:dyaOrig="360" w14:anchorId="26ABD363">
          <v:shape id="_x0000_i1093" type="#_x0000_t75" style="width:19.5pt;height:19.5pt" o:ole="">
            <v:imagedata r:id="rId140" o:title=""/>
          </v:shape>
          <o:OLEObject Type="Embed" ProgID="Equation.3" ShapeID="_x0000_i1093" DrawAspect="Content" ObjectID="_1643102464" r:id="rId141"/>
        </w:object>
      </w:r>
      <w:r>
        <w:rPr>
          <w:sz w:val="20"/>
          <w:szCs w:val="20"/>
          <w:lang w:val="uk-UA"/>
        </w:rPr>
        <w:t xml:space="preserve">– довжина кабелю (проводу) нерозгалуженої частини </w:t>
      </w:r>
      <w:r>
        <w:rPr>
          <w:i/>
          <w:sz w:val="20"/>
          <w:szCs w:val="20"/>
          <w:lang w:val="uk-UA"/>
        </w:rPr>
        <w:t>k</w:t>
      </w:r>
      <w:r>
        <w:rPr>
          <w:sz w:val="20"/>
          <w:szCs w:val="20"/>
          <w:lang w:val="uk-UA"/>
        </w:rPr>
        <w:t xml:space="preserve">-го стояка, км; </w:t>
      </w:r>
    </w:p>
    <w:p w14:paraId="28182BE7" w14:textId="77777777">
      <w:pPr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4"/>
          <w:sz w:val="20"/>
          <w:szCs w:val="20"/>
          <w:lang w:val="uk-UA"/>
        </w:rPr>
        <w:object w:dxaOrig="360" w:dyaOrig="380" w14:anchorId="28D94D4A">
          <v:shape id="_x0000_i1094" type="#_x0000_t75" style="width:19.5pt;height:19.5pt" o:ole="">
            <v:imagedata r:id="rId142" o:title=""/>
          </v:shape>
          <o:OLEObject Type="Embed" ProgID="Equation.3" ShapeID="_x0000_i1094" DrawAspect="Content" ObjectID="_1643102465" r:id="rId143"/>
        </w:object>
      </w:r>
      <w:r>
        <w:rPr>
          <w:sz w:val="20"/>
          <w:szCs w:val="20"/>
          <w:lang w:val="uk-UA"/>
        </w:rPr>
        <w:t xml:space="preserve"> – довжина кабелю (проводу) розгалуженої частини </w:t>
      </w:r>
      <w:r>
        <w:rPr>
          <w:i/>
          <w:sz w:val="20"/>
          <w:szCs w:val="20"/>
          <w:lang w:val="uk-UA"/>
        </w:rPr>
        <w:t>k</w:t>
      </w:r>
      <w:r>
        <w:rPr>
          <w:sz w:val="20"/>
          <w:szCs w:val="20"/>
          <w:lang w:val="uk-UA"/>
        </w:rPr>
        <w:t>-го стояка, км;</w:t>
      </w:r>
    </w:p>
    <w:p w14:paraId="42591376" w14:textId="77777777">
      <w:pPr>
        <w:tabs>
          <w:tab w:val="left" w:pos="709"/>
        </w:tabs>
        <w:spacing w:line="216" w:lineRule="auto"/>
        <w:ind w:left="567" w:right="-538" w:firstLine="142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320" w:dyaOrig="360" w14:anchorId="3376DEEF">
          <v:shape id="_x0000_i1095" type="#_x0000_t75" style="width:18pt;height:19.5pt" o:ole="">
            <v:imagedata r:id="rId144" o:title=""/>
          </v:shape>
          <o:OLEObject Type="Embed" ProgID="Equation.3" ShapeID="_x0000_i1095" DrawAspect="Content" ObjectID="_1643102466" r:id="rId145"/>
        </w:object>
      </w:r>
      <w:r>
        <w:rPr>
          <w:position w:val="-10"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˗ коефіцієнт збільшення втрат в лінії 0,38 кВ стояка з несиметричним навантаженням фаз, який  приймається для ліній з </w:t>
      </w:r>
      <w:r>
        <w:rPr>
          <w:position w:val="-12"/>
          <w:sz w:val="20"/>
          <w:szCs w:val="20"/>
          <w:lang w:val="uk-UA"/>
        </w:rPr>
        <w:object w:dxaOrig="300" w:dyaOrig="360" w14:anchorId="72534280">
          <v:shape id="_x0000_i1096" type="#_x0000_t75" style="width:15pt;height:18pt" o:ole="">
            <v:imagedata r:id="rId146" o:title=""/>
          </v:shape>
          <o:OLEObject Type="Embed" ProgID="Equation.3" ShapeID="_x0000_i1096" DrawAspect="Content" ObjectID="_1643102467" r:id="rId147"/>
        </w:object>
      </w:r>
      <w:r>
        <w:rPr>
          <w:sz w:val="20"/>
          <w:szCs w:val="20"/>
          <w:lang w:val="uk-UA"/>
        </w:rPr>
        <w:t>/</w:t>
      </w:r>
      <w:r>
        <w:rPr>
          <w:position w:val="-14"/>
          <w:sz w:val="20"/>
          <w:szCs w:val="20"/>
          <w:lang w:val="uk-UA"/>
        </w:rPr>
        <w:object w:dxaOrig="300" w:dyaOrig="380" w14:anchorId="7F2B13DE">
          <v:shape id="_x0000_i1097" type="#_x0000_t75" style="width:15pt;height:18.75pt" o:ole="">
            <v:imagedata r:id="rId148" o:title=""/>
          </v:shape>
          <o:OLEObject Type="Embed" ProgID="Equation.3" ShapeID="_x0000_i1097" DrawAspect="Content" ObjectID="_1643102468" r:id="rId149"/>
        </w:object>
      </w:r>
      <w:r>
        <w:rPr>
          <w:sz w:val="20"/>
          <w:szCs w:val="20"/>
          <w:lang w:val="uk-UA"/>
        </w:rPr>
        <w:t xml:space="preserve">=1 рівним 1,13, для ліній  з </w:t>
      </w:r>
      <w:r>
        <w:rPr>
          <w:position w:val="-12"/>
          <w:sz w:val="20"/>
          <w:szCs w:val="20"/>
          <w:lang w:val="uk-UA"/>
        </w:rPr>
        <w:object w:dxaOrig="300" w:dyaOrig="360" w14:anchorId="32A63717">
          <v:shape id="_x0000_i1098" type="#_x0000_t75" style="width:15pt;height:18pt" o:ole="">
            <v:imagedata r:id="rId146" o:title=""/>
          </v:shape>
          <o:OLEObject Type="Embed" ProgID="Equation.3" ShapeID="_x0000_i1098" DrawAspect="Content" ObjectID="_1643102469" r:id="rId150"/>
        </w:object>
      </w:r>
      <w:r>
        <w:rPr>
          <w:sz w:val="20"/>
          <w:szCs w:val="20"/>
          <w:lang w:val="uk-UA"/>
        </w:rPr>
        <w:t>/</w:t>
      </w:r>
      <w:r>
        <w:rPr>
          <w:position w:val="-14"/>
          <w:sz w:val="20"/>
          <w:szCs w:val="20"/>
          <w:lang w:val="uk-UA"/>
        </w:rPr>
        <w:object w:dxaOrig="300" w:dyaOrig="380" w14:anchorId="2D9C488B">
          <v:shape id="_x0000_i1099" type="#_x0000_t75" style="width:15pt;height:18.75pt" o:ole="">
            <v:imagedata r:id="rId148" o:title=""/>
          </v:shape>
          <o:OLEObject Type="Embed" ProgID="Equation.3" ShapeID="_x0000_i1099" DrawAspect="Content" ObjectID="_1643102470" r:id="rId151"/>
        </w:object>
      </w:r>
      <w:r>
        <w:rPr>
          <w:sz w:val="20"/>
          <w:szCs w:val="20"/>
          <w:lang w:val="uk-UA"/>
        </w:rPr>
        <w:t>=2  рівним 1,20  (</w:t>
      </w:r>
      <w:r>
        <w:rPr>
          <w:position w:val="-12"/>
          <w:sz w:val="20"/>
          <w:szCs w:val="20"/>
          <w:lang w:val="uk-UA"/>
        </w:rPr>
        <w:object w:dxaOrig="300" w:dyaOrig="360" w14:anchorId="5F97D882">
          <v:shape id="_x0000_i1100" type="#_x0000_t75" style="width:15pt;height:18pt" o:ole="">
            <v:imagedata r:id="rId146" o:title=""/>
          </v:shape>
          <o:OLEObject Type="Embed" ProgID="Equation.3" ShapeID="_x0000_i1100" DrawAspect="Content" ObjectID="_1643102471" r:id="rId152"/>
        </w:object>
      </w:r>
      <w:r>
        <w:rPr>
          <w:sz w:val="20"/>
          <w:szCs w:val="20"/>
          <w:lang w:val="uk-UA"/>
        </w:rPr>
        <w:t xml:space="preserve"> і </w:t>
      </w:r>
      <w:r>
        <w:rPr>
          <w:position w:val="-14"/>
          <w:sz w:val="20"/>
          <w:szCs w:val="20"/>
          <w:lang w:val="uk-UA"/>
        </w:rPr>
        <w:object w:dxaOrig="300" w:dyaOrig="380" w14:anchorId="5F59CF29">
          <v:shape id="_x0000_i1101" type="#_x0000_t75" style="width:15pt;height:18.75pt" o:ole="">
            <v:imagedata r:id="rId148" o:title=""/>
          </v:shape>
          <o:OLEObject Type="Embed" ProgID="Equation.3" ShapeID="_x0000_i1101" DrawAspect="Content" ObjectID="_1643102472" r:id="rId153"/>
        </w:object>
      </w:r>
      <w:r>
        <w:rPr>
          <w:sz w:val="20"/>
          <w:szCs w:val="20"/>
          <w:lang w:val="uk-UA"/>
        </w:rPr>
        <w:t xml:space="preserve"> – опори нульового і  фазного проводів відповідно, Ом).</w:t>
      </w:r>
    </w:p>
    <w:p w14:paraId="6E4C67D6" w14:textId="13AB9BE0">
      <w:pPr>
        <w:spacing w:line="216" w:lineRule="auto"/>
        <w:ind w:left="567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>2</w:t>
      </w:r>
      <w:r>
        <w:rPr>
          <w:b/>
          <w:sz w:val="20"/>
          <w:szCs w:val="20"/>
          <w:lang w:val="uk-UA"/>
        </w:rPr>
        <w:t>.4.</w:t>
      </w:r>
      <w:r>
        <w:rPr>
          <w:sz w:val="20"/>
          <w:szCs w:val="20"/>
          <w:lang w:val="uk-UA"/>
        </w:rPr>
        <w:t xml:space="preserve"> Вихідні дані для розрахунку втрат </w:t>
      </w:r>
      <w:r>
        <w:rPr>
          <w:sz w:val="20"/>
          <w:szCs w:val="20"/>
          <w:lang w:val="uk-UA"/>
        </w:rPr>
        <w:t>у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внутр</w:t>
      </w:r>
      <w:r>
        <w:rPr>
          <w:sz w:val="20"/>
          <w:szCs w:val="20"/>
          <w:lang w:val="uk-UA"/>
        </w:rPr>
        <w:t>ішн</w:t>
      </w:r>
      <w:r>
        <w:rPr>
          <w:sz w:val="20"/>
          <w:szCs w:val="20"/>
          <w:lang w:val="uk-UA"/>
        </w:rPr>
        <w:t>ьобудинковій</w:t>
      </w:r>
      <w:r>
        <w:rPr>
          <w:sz w:val="20"/>
          <w:szCs w:val="20"/>
          <w:lang w:val="uk-UA"/>
        </w:rPr>
        <w:t xml:space="preserve"> мережі наведені в Т</w:t>
      </w:r>
      <w:r>
        <w:rPr>
          <w:sz w:val="20"/>
          <w:szCs w:val="20"/>
          <w:lang w:val="uk-UA"/>
        </w:rPr>
        <w:t xml:space="preserve">аблиці </w:t>
      </w:r>
      <w:r>
        <w:rPr>
          <w:sz w:val="20"/>
          <w:szCs w:val="20"/>
          <w:lang w:val="uk-UA"/>
        </w:rPr>
        <w:t>4</w:t>
      </w:r>
      <w:r>
        <w:rPr>
          <w:sz w:val="20"/>
          <w:szCs w:val="20"/>
          <w:lang w:val="uk-UA"/>
        </w:rPr>
        <w:t xml:space="preserve"> Продовження Додатка </w:t>
      </w:r>
      <w:r>
        <w:rPr>
          <w:sz w:val="20"/>
          <w:szCs w:val="20"/>
          <w:lang w:val="uk-UA"/>
        </w:rPr>
        <w:t>8</w:t>
      </w:r>
      <w:r>
        <w:rPr>
          <w:sz w:val="20"/>
          <w:szCs w:val="20"/>
          <w:lang w:val="uk-UA"/>
        </w:rPr>
        <w:t>.</w:t>
      </w:r>
    </w:p>
    <w:p w14:paraId="04387202" w14:textId="77777777">
      <w:pPr>
        <w:spacing w:line="216" w:lineRule="auto"/>
        <w:ind w:left="567" w:firstLine="567"/>
        <w:jc w:val="both"/>
        <w:rPr>
          <w:sz w:val="20"/>
          <w:szCs w:val="20"/>
          <w:lang w:val="uk-UA"/>
        </w:rPr>
      </w:pPr>
    </w:p>
    <w:p w14:paraId="047A748C" w14:textId="3987A755">
      <w:pPr>
        <w:spacing w:line="216" w:lineRule="auto"/>
        <w:ind w:left="567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.3</w:t>
      </w:r>
      <w:r>
        <w:rPr>
          <w:b/>
          <w:sz w:val="20"/>
          <w:szCs w:val="20"/>
          <w:lang w:val="uk-UA"/>
        </w:rPr>
        <w:t>.</w:t>
      </w:r>
      <w:r>
        <w:rPr>
          <w:sz w:val="20"/>
          <w:szCs w:val="20"/>
          <w:lang w:val="uk-UA"/>
        </w:rPr>
        <w:t xml:space="preserve"> Втрати електричної енергії в лічильниках </w:t>
      </w:r>
      <w:r>
        <w:rPr>
          <w:sz w:val="20"/>
          <w:szCs w:val="20"/>
          <w:lang w:val="uk-UA"/>
        </w:rPr>
        <w:t xml:space="preserve">та у з’єднаннях внутрішньобудинкових мереж </w:t>
      </w:r>
      <w:r>
        <w:rPr>
          <w:sz w:val="20"/>
          <w:szCs w:val="20"/>
          <w:lang w:val="uk-UA"/>
        </w:rPr>
        <w:t>в кВт·год обчислюють за формул</w:t>
      </w:r>
      <w:r>
        <w:rPr>
          <w:sz w:val="20"/>
          <w:szCs w:val="20"/>
          <w:lang w:val="uk-UA"/>
        </w:rPr>
        <w:t>ами.</w:t>
      </w:r>
    </w:p>
    <w:p w14:paraId="68D5CCB7" w14:textId="242B423F">
      <w:pPr>
        <w:spacing w:line="216" w:lineRule="auto"/>
        <w:ind w:left="567"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.3</w:t>
      </w:r>
      <w:r>
        <w:rPr>
          <w:b/>
          <w:sz w:val="20"/>
          <w:szCs w:val="20"/>
          <w:lang w:val="uk-UA"/>
        </w:rPr>
        <w:t>.1.</w:t>
      </w:r>
      <w:r>
        <w:rPr>
          <w:sz w:val="20"/>
          <w:szCs w:val="20"/>
          <w:lang w:val="uk-UA"/>
        </w:rPr>
        <w:t xml:space="preserve"> Втрати електричної енергії в лічильниках</w:t>
      </w:r>
      <w:r>
        <w:rPr>
          <w:sz w:val="20"/>
          <w:szCs w:val="20"/>
          <w:lang w:val="uk-UA"/>
        </w:rPr>
        <w:t>:</w:t>
      </w:r>
    </w:p>
    <w:p w14:paraId="6D1B689C" w14:textId="194D7FD8">
      <w:pPr>
        <w:spacing w:line="216" w:lineRule="auto"/>
        <w:ind w:firstLine="284"/>
        <w:jc w:val="center"/>
        <w:rPr>
          <w:sz w:val="20"/>
          <w:szCs w:val="20"/>
          <w:lang w:val="uk-UA"/>
        </w:rPr>
      </w:pPr>
      <w:r>
        <w:rPr>
          <w:position w:val="-28"/>
          <w:sz w:val="20"/>
          <w:szCs w:val="20"/>
          <w:lang w:val="uk-UA"/>
        </w:rPr>
        <w:object w:dxaOrig="2540" w:dyaOrig="680" w14:anchorId="136D533B">
          <v:shape id="_x0000_i1102" type="#_x0000_t75" style="width:2in;height:39pt" o:ole="">
            <v:imagedata r:id="rId154" o:title=""/>
          </v:shape>
          <o:OLEObject Type="Embed" ProgID="Equation.DSMT4" ShapeID="_x0000_i1102" DrawAspect="Content" ObjectID="_1643102473" r:id="rId155"/>
        </w:object>
      </w:r>
      <w:r>
        <w:rPr>
          <w:sz w:val="20"/>
          <w:szCs w:val="20"/>
          <w:lang w:val="uk-UA"/>
        </w:rPr>
        <w:t>,</w:t>
      </w:r>
    </w:p>
    <w:p w14:paraId="4F892A99" w14:textId="77777777">
      <w:pPr>
        <w:spacing w:line="216" w:lineRule="auto"/>
        <w:ind w:firstLine="709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де </w:t>
      </w:r>
      <w:r>
        <w:rPr>
          <w:position w:val="-12"/>
          <w:sz w:val="20"/>
          <w:szCs w:val="20"/>
          <w:lang w:val="uk-UA"/>
        </w:rPr>
        <w:object w:dxaOrig="300" w:dyaOrig="360" w14:anchorId="641EB128">
          <v:shape id="_x0000_i1103" type="#_x0000_t75" style="width:15pt;height:18pt" o:ole="">
            <v:imagedata r:id="rId156" o:title=""/>
          </v:shape>
          <o:OLEObject Type="Embed" ProgID="Equation.DSMT4" ShapeID="_x0000_i1103" DrawAspect="Content" ObjectID="_1643102474" r:id="rId157"/>
        </w:object>
      </w:r>
      <w:r>
        <w:rPr>
          <w:sz w:val="20"/>
          <w:szCs w:val="20"/>
          <w:lang w:val="uk-UA"/>
        </w:rPr>
        <w:t xml:space="preserve">- кількість лічильників </w:t>
      </w:r>
      <w:r>
        <w:rPr>
          <w:position w:val="-6"/>
          <w:sz w:val="20"/>
          <w:szCs w:val="20"/>
          <w:lang w:val="uk-UA"/>
        </w:rPr>
        <w:object w:dxaOrig="139" w:dyaOrig="260" w14:anchorId="087F4A9D">
          <v:shape id="_x0000_i1104" type="#_x0000_t75" style="width:7.5pt;height:12.75pt" o:ole="">
            <v:imagedata r:id="rId158" o:title=""/>
          </v:shape>
          <o:OLEObject Type="Embed" ProgID="Equation.DSMT4" ShapeID="_x0000_i1104" DrawAspect="Content" ObjectID="_1643102475" r:id="rId159"/>
        </w:object>
      </w:r>
      <w:r>
        <w:rPr>
          <w:sz w:val="20"/>
          <w:szCs w:val="20"/>
          <w:lang w:val="uk-UA"/>
        </w:rPr>
        <w:t>-того типу;</w:t>
      </w:r>
    </w:p>
    <w:p w14:paraId="5C340839" w14:textId="77777777">
      <w:pPr>
        <w:spacing w:line="216" w:lineRule="auto"/>
        <w:ind w:firstLine="709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240" w:dyaOrig="360" w14:anchorId="165E1EE9">
          <v:shape id="_x0000_i1105" type="#_x0000_t75" style="width:12pt;height:18pt" o:ole="">
            <v:imagedata r:id="rId160" o:title=""/>
          </v:shape>
          <o:OLEObject Type="Embed" ProgID="Equation.DSMT4" ShapeID="_x0000_i1105" DrawAspect="Content" ObjectID="_1643102476" r:id="rId161"/>
        </w:object>
      </w:r>
      <w:r>
        <w:rPr>
          <w:sz w:val="20"/>
          <w:szCs w:val="20"/>
          <w:lang w:val="uk-UA"/>
        </w:rPr>
        <w:t xml:space="preserve">- втрати електричної енергії в лічильниках </w:t>
      </w:r>
      <w:r>
        <w:rPr>
          <w:position w:val="-6"/>
          <w:sz w:val="20"/>
          <w:szCs w:val="20"/>
          <w:lang w:val="uk-UA"/>
        </w:rPr>
        <w:object w:dxaOrig="139" w:dyaOrig="260" w14:anchorId="33D49B20">
          <v:shape id="_x0000_i1106" type="#_x0000_t75" style="width:7.5pt;height:12.75pt" o:ole="">
            <v:imagedata r:id="rId158" o:title=""/>
          </v:shape>
          <o:OLEObject Type="Embed" ProgID="Equation.DSMT4" ShapeID="_x0000_i1106" DrawAspect="Content" ObjectID="_1643102477" r:id="rId162"/>
        </w:object>
      </w:r>
      <w:r>
        <w:rPr>
          <w:sz w:val="20"/>
          <w:szCs w:val="20"/>
          <w:lang w:val="uk-UA"/>
        </w:rPr>
        <w:t>-того типу відповідно до паспорта лічильника, Вт;</w:t>
      </w:r>
    </w:p>
    <w:p w14:paraId="532C47F9" w14:textId="2A99209D">
      <w:pPr>
        <w:spacing w:line="216" w:lineRule="auto"/>
        <w:ind w:firstLine="709"/>
        <w:jc w:val="both"/>
        <w:rPr>
          <w:sz w:val="20"/>
          <w:szCs w:val="20"/>
          <w:lang w:val="uk-UA"/>
        </w:rPr>
      </w:pPr>
      <w:r>
        <w:rPr>
          <w:position w:val="-4"/>
          <w:sz w:val="20"/>
          <w:szCs w:val="20"/>
          <w:lang w:val="uk-UA"/>
        </w:rPr>
        <w:object w:dxaOrig="220" w:dyaOrig="240" w14:anchorId="7E4FE33A">
          <v:shape id="_x0000_i1107" type="#_x0000_t75" style="width:12.75pt;height:12.75pt" o:ole="">
            <v:imagedata r:id="rId128" o:title=""/>
          </v:shape>
          <o:OLEObject Type="Embed" ProgID="Equation.3" ShapeID="_x0000_i1107" DrawAspect="Content" ObjectID="_1643102478" r:id="rId163"/>
        </w:object>
      </w:r>
      <w:r>
        <w:rPr>
          <w:sz w:val="20"/>
          <w:szCs w:val="20"/>
          <w:lang w:val="uk-UA"/>
        </w:rPr>
        <w:t xml:space="preserve"> – тривалість розрахункового періоду</w:t>
      </w:r>
      <w:r>
        <w:rPr>
          <w:sz w:val="20"/>
          <w:szCs w:val="20"/>
          <w:lang w:val="uk-UA"/>
        </w:rPr>
        <w:t xml:space="preserve"> (</w:t>
      </w:r>
      <w:r>
        <w:rPr>
          <w:sz w:val="20"/>
          <w:szCs w:val="20"/>
          <w:lang w:val="uk-UA"/>
        </w:rPr>
        <w:t>визначається виходячи із цілодобового режиму роботи</w:t>
      </w:r>
      <w:r>
        <w:rPr>
          <w:sz w:val="20"/>
          <w:szCs w:val="20"/>
          <w:lang w:val="uk-UA"/>
        </w:rPr>
        <w:t>)</w:t>
      </w:r>
      <w:r>
        <w:rPr>
          <w:sz w:val="20"/>
          <w:szCs w:val="20"/>
          <w:lang w:val="uk-UA"/>
        </w:rPr>
        <w:t>, годин.</w:t>
      </w:r>
      <w:r>
        <w:t xml:space="preserve"> </w:t>
      </w:r>
    </w:p>
    <w:p w14:paraId="64D2106B" w14:textId="4F84E394">
      <w:pPr>
        <w:spacing w:line="216" w:lineRule="auto"/>
        <w:ind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.3</w:t>
      </w:r>
      <w:r>
        <w:rPr>
          <w:b/>
          <w:sz w:val="20"/>
          <w:szCs w:val="20"/>
          <w:lang w:val="uk-UA"/>
        </w:rPr>
        <w:t>.2.</w:t>
      </w:r>
      <w:r>
        <w:rPr>
          <w:sz w:val="20"/>
          <w:szCs w:val="20"/>
          <w:lang w:val="uk-UA"/>
        </w:rPr>
        <w:t xml:space="preserve"> Втрати електричної енергії у з’єднаннях внутрішньобудинкових мереж:</w:t>
      </w:r>
    </w:p>
    <w:p w14:paraId="69CCC777" w14:textId="77777777">
      <w:pPr>
        <w:spacing w:line="216" w:lineRule="auto"/>
        <w:ind w:firstLine="284"/>
        <w:jc w:val="center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3019" w:dyaOrig="380" w14:anchorId="59CD28A5">
          <v:shape id="_x0000_i1108" type="#_x0000_t75" style="width:167.25pt;height:21.75pt" o:ole="">
            <v:imagedata r:id="rId164" o:title=""/>
          </v:shape>
          <o:OLEObject Type="Embed" ProgID="Equation.DSMT4" ShapeID="_x0000_i1108" DrawAspect="Content" ObjectID="_1643102479" r:id="rId165"/>
        </w:object>
      </w:r>
      <w:r>
        <w:rPr>
          <w:sz w:val="20"/>
          <w:szCs w:val="20"/>
          <w:lang w:val="uk-UA"/>
        </w:rPr>
        <w:t>,</w:t>
      </w:r>
    </w:p>
    <w:p w14:paraId="700CFDF7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340" w:dyaOrig="360" w14:anchorId="2E9D3675">
          <v:shape id="_x0000_i1109" type="#_x0000_t75" style="width:18pt;height:18pt" o:ole="">
            <v:imagedata r:id="rId166" o:title=""/>
          </v:shape>
          <o:OLEObject Type="Embed" ProgID="Equation.DSMT4" ShapeID="_x0000_i1109" DrawAspect="Content" ObjectID="_1643102480" r:id="rId167"/>
        </w:object>
      </w:r>
      <w:r>
        <w:rPr>
          <w:sz w:val="20"/>
          <w:szCs w:val="20"/>
          <w:lang w:val="uk-UA"/>
        </w:rPr>
        <w:t>- кількість контактних з’єднань на відгалуженнях до лічильників;</w:t>
      </w:r>
    </w:p>
    <w:p w14:paraId="3D77CF7D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position w:val="-4"/>
          <w:sz w:val="20"/>
          <w:szCs w:val="20"/>
          <w:lang w:val="uk-UA"/>
        </w:rPr>
        <w:object w:dxaOrig="200" w:dyaOrig="260" w14:anchorId="603EEB49">
          <v:shape id="_x0000_i1110" type="#_x0000_t75" style="width:10.5pt;height:12.75pt" o:ole="">
            <v:imagedata r:id="rId168" o:title=""/>
          </v:shape>
          <o:OLEObject Type="Embed" ProgID="Equation.DSMT4" ShapeID="_x0000_i1110" DrawAspect="Content" ObjectID="_1643102481" r:id="rId169"/>
        </w:object>
      </w:r>
      <w:r>
        <w:rPr>
          <w:sz w:val="20"/>
          <w:szCs w:val="20"/>
          <w:lang w:val="uk-UA"/>
        </w:rPr>
        <w:t>- середній струм фази, А;</w:t>
      </w:r>
    </w:p>
    <w:p w14:paraId="385FB179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position w:val="-12"/>
          <w:sz w:val="20"/>
          <w:szCs w:val="20"/>
          <w:lang w:val="uk-UA"/>
        </w:rPr>
        <w:object w:dxaOrig="279" w:dyaOrig="360" w14:anchorId="68D545FB">
          <v:shape id="_x0000_i1111" type="#_x0000_t75" style="width:14.25pt;height:18pt" o:ole="">
            <v:imagedata r:id="rId170" o:title=""/>
          </v:shape>
          <o:OLEObject Type="Embed" ProgID="Equation.DSMT4" ShapeID="_x0000_i1111" DrawAspect="Content" ObjectID="_1643102482" r:id="rId171"/>
        </w:object>
      </w:r>
      <w:r>
        <w:rPr>
          <w:sz w:val="20"/>
          <w:szCs w:val="20"/>
          <w:lang w:val="uk-UA"/>
        </w:rPr>
        <w:t>- опір контактного з’єднання, Ом.</w:t>
      </w:r>
    </w:p>
    <w:p w14:paraId="4A28383D" w14:textId="1A7000D9">
      <w:pPr>
        <w:spacing w:line="216" w:lineRule="auto"/>
        <w:ind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.3</w:t>
      </w:r>
      <w:r>
        <w:rPr>
          <w:b/>
          <w:sz w:val="20"/>
          <w:szCs w:val="20"/>
          <w:lang w:val="uk-UA"/>
        </w:rPr>
        <w:t>.3.</w:t>
      </w:r>
      <w:r>
        <w:rPr>
          <w:sz w:val="20"/>
          <w:szCs w:val="20"/>
          <w:lang w:val="uk-UA"/>
        </w:rPr>
        <w:t xml:space="preserve"> Вихідні дані для розрахунку втрат в лічильниках та у з’єднаннях внутрішньобудинкових мереж</w:t>
      </w:r>
      <w:r>
        <w:rPr>
          <w:sz w:val="20"/>
          <w:szCs w:val="20"/>
          <w:lang w:val="uk-UA"/>
        </w:rPr>
        <w:t xml:space="preserve"> наведені в Т</w:t>
      </w:r>
      <w:r>
        <w:rPr>
          <w:sz w:val="20"/>
          <w:szCs w:val="20"/>
          <w:lang w:val="uk-UA"/>
        </w:rPr>
        <w:t>аблиці 5</w:t>
      </w:r>
      <w:r>
        <w:rPr>
          <w:sz w:val="20"/>
          <w:szCs w:val="20"/>
          <w:lang w:val="uk-UA"/>
        </w:rPr>
        <w:t xml:space="preserve"> Продовження Додатка 8</w:t>
      </w:r>
      <w:r>
        <w:rPr>
          <w:sz w:val="20"/>
          <w:szCs w:val="20"/>
          <w:lang w:val="uk-UA"/>
        </w:rPr>
        <w:t>.</w:t>
      </w:r>
    </w:p>
    <w:p w14:paraId="0402485E" w14:textId="107BE181">
      <w:pPr>
        <w:ind w:firstLine="567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>
        <w:rPr>
          <w:b/>
          <w:sz w:val="20"/>
          <w:szCs w:val="20"/>
          <w:lang w:val="uk-UA"/>
        </w:rPr>
        <w:t>4</w:t>
      </w:r>
      <w:r>
        <w:rPr>
          <w:b/>
          <w:sz w:val="20"/>
          <w:szCs w:val="20"/>
          <w:lang w:val="uk-UA"/>
        </w:rPr>
        <w:t>.3.4</w:t>
      </w:r>
      <w:r>
        <w:rPr>
          <w:sz w:val="20"/>
          <w:szCs w:val="20"/>
          <w:lang w:val="uk-UA"/>
        </w:rPr>
        <w:t xml:space="preserve">. Для здійснення розрахунку втрат у внутрішньобудинкових мережах Споживач має повідомити Оператора системи </w:t>
      </w:r>
      <w:r>
        <w:rPr>
          <w:sz w:val="20"/>
          <w:szCs w:val="20"/>
          <w:lang w:val="uk-UA"/>
        </w:rPr>
        <w:t xml:space="preserve">розподілу </w:t>
      </w:r>
      <w:r>
        <w:rPr>
          <w:sz w:val="20"/>
          <w:szCs w:val="20"/>
          <w:lang w:val="uk-UA"/>
        </w:rPr>
        <w:t>щодо вихідних даних електромереж будинку.</w:t>
      </w:r>
    </w:p>
    <w:p w14:paraId="669EE735" w14:textId="77777777">
      <w:pPr>
        <w:ind w:firstLine="567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У разі відсутності даних щодо внутрішньо будинкових мереж втрати не розраховуються, обсяги спожитої електричної енергії, визначених за показами засобів обліку Споживача не коригуються.</w:t>
      </w:r>
    </w:p>
    <w:p w14:paraId="7918CAC5" w14:textId="77777777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10C624EC" w14:textId="54CB2754">
      <w:pPr>
        <w:rPr>
          <w:sz w:val="20"/>
          <w:szCs w:val="20"/>
        </w:rPr>
      </w:pPr>
    </w:p>
    <w:p w14:paraId="1C8A7B3E" w14:textId="7777777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АКЦІОНЕРНЕ ТОВАРИСТВО «ДТЕК ДНІПРОВСЬКІ ЕЛЕКТРОМЕРЕЖІ»</w:t>
      </w:r>
    </w:p>
    <w:p w14:paraId="07A6AE47" w14:textId="7777777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Енергетичний ідентифікаційний код (ЕІС код) № 62X4635461205007</w:t>
      </w:r>
    </w:p>
    <w:p w14:paraId="2078887A" w14:textId="7777777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Адреса: 49107, м Дніпро, шосе Запорізьке, 22.</w:t>
      </w:r>
    </w:p>
    <w:p w14:paraId="4B186A04" w14:textId="7777777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Номер поточного рахунка: </w:t>
      </w:r>
    </w:p>
    <w:p w14:paraId="02A7F00D" w14:textId="7777777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П/р №  26004301790066 в  філії - Дніпропетровське ОУ АТ «Ощадбанк», МФО 305482.  </w:t>
      </w:r>
    </w:p>
    <w:p w14:paraId="7FB0D8F8" w14:textId="7777777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Номер поточного рахунка для оплати за послуги з розподілу електричної енергії: № UA533054820000026004301790066 в  філії - Дніпропетровське ОУ АТ «Ощадбанк», МФО 305482</w:t>
      </w:r>
    </w:p>
    <w:p w14:paraId="3E808F6B" w14:textId="7777777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ЄДРПОУ 23359034.    </w:t>
      </w:r>
    </w:p>
    <w:p w14:paraId="697C5265" w14:textId="0F7ABF9E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ІПН  233590304026.</w:t>
      </w:r>
    </w:p>
    <w:p w14:paraId="66559001" w14:textId="23506DD6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Телефон Контакт-центру (056) 790-99-00, (</w:t>
      </w:r>
      <w:r>
        <w:rPr>
          <w:sz w:val="20"/>
          <w:szCs w:val="20"/>
        </w:rPr>
        <w:t>066) 790-99-00, (067) 790-99-00</w:t>
      </w:r>
    </w:p>
    <w:p w14:paraId="3C72EF3C" w14:textId="7B826F38">
      <w:pPr>
        <w:spacing w:line="276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Web-c</w:t>
      </w:r>
      <w:r>
        <w:rPr>
          <w:sz w:val="20"/>
          <w:szCs w:val="20"/>
        </w:rPr>
        <w:t>айт</w:t>
      </w:r>
      <w:r>
        <w:rPr>
          <w:sz w:val="20"/>
          <w:szCs w:val="20"/>
          <w:lang w:val="en-US"/>
        </w:rPr>
        <w:t>: https://dtek-dnem.com.ua</w:t>
      </w:r>
      <w:bookmarkStart w:id="0" w:name="_GoBack"/>
      <w:bookmarkEnd w:id="0"/>
    </w:p>
    <w:sectPr>
      <w:footerReference w:type="default" r:id="rId172"/>
      <w:footerReference w:type="first" r:id="rId173"/>
      <w:pgSz w:w="11906" w:h="16838" w:code="9"/>
      <w:pgMar w:top="567" w:right="707" w:bottom="709" w:left="1247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74FF6" w14:textId="77777777">
      <w:r>
        <w:separator/>
      </w:r>
    </w:p>
  </w:endnote>
  <w:endnote w:type="continuationSeparator" w:id="0">
    <w:p w14:paraId="7C1EBB2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71A6D" w14:textId="77777777">
    <w:pPr>
      <w:pStyle w:val="a3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C6986" w14:textId="77777777">
    <w:pPr>
      <w:pStyle w:val="a3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3BB62" w14:textId="77777777">
      <w:r>
        <w:separator/>
      </w:r>
    </w:p>
  </w:footnote>
  <w:footnote w:type="continuationSeparator" w:id="0">
    <w:p w14:paraId="6714A02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76"/>
    <w:rsid w:val="00004015"/>
    <w:rsid w:val="00007290"/>
    <w:rsid w:val="000122E7"/>
    <w:rsid w:val="00012B63"/>
    <w:rsid w:val="000174E2"/>
    <w:rsid w:val="00020C9D"/>
    <w:rsid w:val="00023DDA"/>
    <w:rsid w:val="00024904"/>
    <w:rsid w:val="00030798"/>
    <w:rsid w:val="000324B2"/>
    <w:rsid w:val="00037029"/>
    <w:rsid w:val="000404F6"/>
    <w:rsid w:val="00050DC6"/>
    <w:rsid w:val="0007058C"/>
    <w:rsid w:val="000711EF"/>
    <w:rsid w:val="00084DF8"/>
    <w:rsid w:val="000934CE"/>
    <w:rsid w:val="00093E19"/>
    <w:rsid w:val="000A5AA6"/>
    <w:rsid w:val="000B783C"/>
    <w:rsid w:val="000C4993"/>
    <w:rsid w:val="000C4B21"/>
    <w:rsid w:val="000C51AA"/>
    <w:rsid w:val="000C6BFB"/>
    <w:rsid w:val="000C761E"/>
    <w:rsid w:val="000E7F77"/>
    <w:rsid w:val="000F56E1"/>
    <w:rsid w:val="000F6FEF"/>
    <w:rsid w:val="001018ED"/>
    <w:rsid w:val="00102F99"/>
    <w:rsid w:val="00105238"/>
    <w:rsid w:val="00105E01"/>
    <w:rsid w:val="00110ED4"/>
    <w:rsid w:val="0011107C"/>
    <w:rsid w:val="00114ED3"/>
    <w:rsid w:val="00130ACE"/>
    <w:rsid w:val="00152753"/>
    <w:rsid w:val="00167317"/>
    <w:rsid w:val="00170A5C"/>
    <w:rsid w:val="001819DC"/>
    <w:rsid w:val="001860EB"/>
    <w:rsid w:val="001A43A4"/>
    <w:rsid w:val="001B0094"/>
    <w:rsid w:val="001B2678"/>
    <w:rsid w:val="001B58D8"/>
    <w:rsid w:val="001B693E"/>
    <w:rsid w:val="001D1AFF"/>
    <w:rsid w:val="00203256"/>
    <w:rsid w:val="00206511"/>
    <w:rsid w:val="00223FE5"/>
    <w:rsid w:val="00236EBE"/>
    <w:rsid w:val="00246AB8"/>
    <w:rsid w:val="00261ED0"/>
    <w:rsid w:val="002637A3"/>
    <w:rsid w:val="0026424E"/>
    <w:rsid w:val="00276945"/>
    <w:rsid w:val="002828D5"/>
    <w:rsid w:val="00290117"/>
    <w:rsid w:val="00293CC0"/>
    <w:rsid w:val="00293D62"/>
    <w:rsid w:val="00294F3E"/>
    <w:rsid w:val="002A7373"/>
    <w:rsid w:val="002B3600"/>
    <w:rsid w:val="002C449E"/>
    <w:rsid w:val="002C6706"/>
    <w:rsid w:val="002D4DC4"/>
    <w:rsid w:val="002D5E9C"/>
    <w:rsid w:val="002F76F6"/>
    <w:rsid w:val="0030110B"/>
    <w:rsid w:val="00304A91"/>
    <w:rsid w:val="00304C7F"/>
    <w:rsid w:val="003077E2"/>
    <w:rsid w:val="00307E6E"/>
    <w:rsid w:val="0031148C"/>
    <w:rsid w:val="003130B3"/>
    <w:rsid w:val="00316000"/>
    <w:rsid w:val="00333864"/>
    <w:rsid w:val="003435E9"/>
    <w:rsid w:val="003506AF"/>
    <w:rsid w:val="003773A8"/>
    <w:rsid w:val="003812F2"/>
    <w:rsid w:val="00384965"/>
    <w:rsid w:val="00384B69"/>
    <w:rsid w:val="003917CE"/>
    <w:rsid w:val="00391829"/>
    <w:rsid w:val="003A6B69"/>
    <w:rsid w:val="003A73C2"/>
    <w:rsid w:val="003C22B6"/>
    <w:rsid w:val="003C4EF8"/>
    <w:rsid w:val="003D1C01"/>
    <w:rsid w:val="003E6305"/>
    <w:rsid w:val="003E6448"/>
    <w:rsid w:val="003F387A"/>
    <w:rsid w:val="00401A19"/>
    <w:rsid w:val="004102E9"/>
    <w:rsid w:val="0041085C"/>
    <w:rsid w:val="00410AFB"/>
    <w:rsid w:val="00434375"/>
    <w:rsid w:val="00453154"/>
    <w:rsid w:val="00470EF7"/>
    <w:rsid w:val="00480E1C"/>
    <w:rsid w:val="00483033"/>
    <w:rsid w:val="004B0EEA"/>
    <w:rsid w:val="004B100A"/>
    <w:rsid w:val="004B437F"/>
    <w:rsid w:val="004B450F"/>
    <w:rsid w:val="004B5EAC"/>
    <w:rsid w:val="004B7211"/>
    <w:rsid w:val="004C3A2D"/>
    <w:rsid w:val="004D261E"/>
    <w:rsid w:val="004D4B68"/>
    <w:rsid w:val="004E4BD3"/>
    <w:rsid w:val="0050149D"/>
    <w:rsid w:val="00501DE4"/>
    <w:rsid w:val="005027A1"/>
    <w:rsid w:val="005129FC"/>
    <w:rsid w:val="00516DA5"/>
    <w:rsid w:val="005244E3"/>
    <w:rsid w:val="00535925"/>
    <w:rsid w:val="00537F14"/>
    <w:rsid w:val="00545EDA"/>
    <w:rsid w:val="00557C98"/>
    <w:rsid w:val="0056357A"/>
    <w:rsid w:val="00585A5D"/>
    <w:rsid w:val="00592054"/>
    <w:rsid w:val="00592F02"/>
    <w:rsid w:val="005A08C6"/>
    <w:rsid w:val="005A534F"/>
    <w:rsid w:val="005A7E7F"/>
    <w:rsid w:val="005B152E"/>
    <w:rsid w:val="005E0141"/>
    <w:rsid w:val="005F0E4B"/>
    <w:rsid w:val="0061792A"/>
    <w:rsid w:val="00621848"/>
    <w:rsid w:val="00626410"/>
    <w:rsid w:val="0063322E"/>
    <w:rsid w:val="006428E5"/>
    <w:rsid w:val="00644B68"/>
    <w:rsid w:val="00645B64"/>
    <w:rsid w:val="006463F1"/>
    <w:rsid w:val="00652B1C"/>
    <w:rsid w:val="006640C7"/>
    <w:rsid w:val="00680DA2"/>
    <w:rsid w:val="006830F1"/>
    <w:rsid w:val="0068657F"/>
    <w:rsid w:val="00695CD9"/>
    <w:rsid w:val="006A22BD"/>
    <w:rsid w:val="006B4170"/>
    <w:rsid w:val="006B4B45"/>
    <w:rsid w:val="006D499C"/>
    <w:rsid w:val="006E0756"/>
    <w:rsid w:val="006E1DE8"/>
    <w:rsid w:val="006E457E"/>
    <w:rsid w:val="006E7790"/>
    <w:rsid w:val="006F22D8"/>
    <w:rsid w:val="006F4F2C"/>
    <w:rsid w:val="0070254A"/>
    <w:rsid w:val="007052AA"/>
    <w:rsid w:val="00715975"/>
    <w:rsid w:val="00720F5A"/>
    <w:rsid w:val="007233FA"/>
    <w:rsid w:val="0075026D"/>
    <w:rsid w:val="00765252"/>
    <w:rsid w:val="007658DC"/>
    <w:rsid w:val="00766D4B"/>
    <w:rsid w:val="00783ADF"/>
    <w:rsid w:val="007A406C"/>
    <w:rsid w:val="007C2D2F"/>
    <w:rsid w:val="007C3ADB"/>
    <w:rsid w:val="007F3D22"/>
    <w:rsid w:val="008102B5"/>
    <w:rsid w:val="00817953"/>
    <w:rsid w:val="008215C7"/>
    <w:rsid w:val="008220B9"/>
    <w:rsid w:val="00826976"/>
    <w:rsid w:val="00831B4B"/>
    <w:rsid w:val="0083222A"/>
    <w:rsid w:val="00837879"/>
    <w:rsid w:val="008378C1"/>
    <w:rsid w:val="00842222"/>
    <w:rsid w:val="0085154F"/>
    <w:rsid w:val="00855104"/>
    <w:rsid w:val="0085684A"/>
    <w:rsid w:val="00860B14"/>
    <w:rsid w:val="00876B8C"/>
    <w:rsid w:val="00877446"/>
    <w:rsid w:val="00883631"/>
    <w:rsid w:val="00885D8D"/>
    <w:rsid w:val="0089039B"/>
    <w:rsid w:val="0089164E"/>
    <w:rsid w:val="00891C32"/>
    <w:rsid w:val="008945B4"/>
    <w:rsid w:val="0089698D"/>
    <w:rsid w:val="008A2F61"/>
    <w:rsid w:val="008A3E3C"/>
    <w:rsid w:val="008A55C2"/>
    <w:rsid w:val="008B28BE"/>
    <w:rsid w:val="008B6D93"/>
    <w:rsid w:val="008B76D0"/>
    <w:rsid w:val="008C07CE"/>
    <w:rsid w:val="008D0AC6"/>
    <w:rsid w:val="008D1C6B"/>
    <w:rsid w:val="008D6BF2"/>
    <w:rsid w:val="008D771F"/>
    <w:rsid w:val="008E2B21"/>
    <w:rsid w:val="008E6035"/>
    <w:rsid w:val="008F12BA"/>
    <w:rsid w:val="008F5226"/>
    <w:rsid w:val="008F7356"/>
    <w:rsid w:val="0090122D"/>
    <w:rsid w:val="00911462"/>
    <w:rsid w:val="009121C8"/>
    <w:rsid w:val="0092360D"/>
    <w:rsid w:val="00925B6B"/>
    <w:rsid w:val="00926B53"/>
    <w:rsid w:val="00927C4C"/>
    <w:rsid w:val="00936263"/>
    <w:rsid w:val="00953761"/>
    <w:rsid w:val="00957306"/>
    <w:rsid w:val="009637E8"/>
    <w:rsid w:val="00964DEB"/>
    <w:rsid w:val="009775DF"/>
    <w:rsid w:val="00994C46"/>
    <w:rsid w:val="009B32C1"/>
    <w:rsid w:val="009B47C7"/>
    <w:rsid w:val="009C5318"/>
    <w:rsid w:val="009C5DCB"/>
    <w:rsid w:val="009D64EC"/>
    <w:rsid w:val="009E30FC"/>
    <w:rsid w:val="009E6232"/>
    <w:rsid w:val="009E6942"/>
    <w:rsid w:val="00A07705"/>
    <w:rsid w:val="00A215B9"/>
    <w:rsid w:val="00A470A1"/>
    <w:rsid w:val="00A50668"/>
    <w:rsid w:val="00A56350"/>
    <w:rsid w:val="00A823E9"/>
    <w:rsid w:val="00A82ECC"/>
    <w:rsid w:val="00A8755C"/>
    <w:rsid w:val="00A91485"/>
    <w:rsid w:val="00A92994"/>
    <w:rsid w:val="00A95558"/>
    <w:rsid w:val="00A964C3"/>
    <w:rsid w:val="00AA3C48"/>
    <w:rsid w:val="00AA62E3"/>
    <w:rsid w:val="00AA70E0"/>
    <w:rsid w:val="00AC051D"/>
    <w:rsid w:val="00AC5FA4"/>
    <w:rsid w:val="00AC6D4B"/>
    <w:rsid w:val="00AD6214"/>
    <w:rsid w:val="00AD6A18"/>
    <w:rsid w:val="00AE1A37"/>
    <w:rsid w:val="00AE3F4E"/>
    <w:rsid w:val="00AE72C1"/>
    <w:rsid w:val="00AF0FA2"/>
    <w:rsid w:val="00AF2023"/>
    <w:rsid w:val="00AF3FEC"/>
    <w:rsid w:val="00AF6D6D"/>
    <w:rsid w:val="00B14672"/>
    <w:rsid w:val="00B22116"/>
    <w:rsid w:val="00B25062"/>
    <w:rsid w:val="00B36783"/>
    <w:rsid w:val="00B45794"/>
    <w:rsid w:val="00B50D73"/>
    <w:rsid w:val="00B57031"/>
    <w:rsid w:val="00B774FF"/>
    <w:rsid w:val="00B849FA"/>
    <w:rsid w:val="00B87CD0"/>
    <w:rsid w:val="00BB3223"/>
    <w:rsid w:val="00BB39D9"/>
    <w:rsid w:val="00BC148A"/>
    <w:rsid w:val="00BD18E0"/>
    <w:rsid w:val="00BD71B5"/>
    <w:rsid w:val="00BE1372"/>
    <w:rsid w:val="00BF0811"/>
    <w:rsid w:val="00BF2FD9"/>
    <w:rsid w:val="00BF5D72"/>
    <w:rsid w:val="00C0073A"/>
    <w:rsid w:val="00C024AE"/>
    <w:rsid w:val="00C0414D"/>
    <w:rsid w:val="00C076B7"/>
    <w:rsid w:val="00C22441"/>
    <w:rsid w:val="00C329BC"/>
    <w:rsid w:val="00C3735B"/>
    <w:rsid w:val="00C40748"/>
    <w:rsid w:val="00C415DF"/>
    <w:rsid w:val="00C53BB8"/>
    <w:rsid w:val="00C60413"/>
    <w:rsid w:val="00C61786"/>
    <w:rsid w:val="00C62704"/>
    <w:rsid w:val="00C67B2F"/>
    <w:rsid w:val="00C77B13"/>
    <w:rsid w:val="00C904BB"/>
    <w:rsid w:val="00CB0EC2"/>
    <w:rsid w:val="00CB2E10"/>
    <w:rsid w:val="00CC40FA"/>
    <w:rsid w:val="00CC410E"/>
    <w:rsid w:val="00CC6A36"/>
    <w:rsid w:val="00CD5D32"/>
    <w:rsid w:val="00CE0CFC"/>
    <w:rsid w:val="00CE3049"/>
    <w:rsid w:val="00CF7EBA"/>
    <w:rsid w:val="00D118B9"/>
    <w:rsid w:val="00D2505A"/>
    <w:rsid w:val="00D32F63"/>
    <w:rsid w:val="00D33808"/>
    <w:rsid w:val="00D42E77"/>
    <w:rsid w:val="00D458BE"/>
    <w:rsid w:val="00D47203"/>
    <w:rsid w:val="00D6000E"/>
    <w:rsid w:val="00D6126F"/>
    <w:rsid w:val="00D6177B"/>
    <w:rsid w:val="00D72FA7"/>
    <w:rsid w:val="00D77443"/>
    <w:rsid w:val="00D84BAE"/>
    <w:rsid w:val="00D856A1"/>
    <w:rsid w:val="00D85DC1"/>
    <w:rsid w:val="00DA2F39"/>
    <w:rsid w:val="00DA31CA"/>
    <w:rsid w:val="00DA465C"/>
    <w:rsid w:val="00DB04A9"/>
    <w:rsid w:val="00DD6163"/>
    <w:rsid w:val="00DE334B"/>
    <w:rsid w:val="00DF4D75"/>
    <w:rsid w:val="00DF7759"/>
    <w:rsid w:val="00E04FF1"/>
    <w:rsid w:val="00E06BB6"/>
    <w:rsid w:val="00E0778E"/>
    <w:rsid w:val="00E21954"/>
    <w:rsid w:val="00E37070"/>
    <w:rsid w:val="00E409DF"/>
    <w:rsid w:val="00E4465A"/>
    <w:rsid w:val="00E50087"/>
    <w:rsid w:val="00E60BF3"/>
    <w:rsid w:val="00E65346"/>
    <w:rsid w:val="00E66C0B"/>
    <w:rsid w:val="00E70BD6"/>
    <w:rsid w:val="00E86B40"/>
    <w:rsid w:val="00EA2349"/>
    <w:rsid w:val="00ED360D"/>
    <w:rsid w:val="00ED3F01"/>
    <w:rsid w:val="00ED74C4"/>
    <w:rsid w:val="00EE79FD"/>
    <w:rsid w:val="00EF1663"/>
    <w:rsid w:val="00F00BE5"/>
    <w:rsid w:val="00F1799E"/>
    <w:rsid w:val="00F217A3"/>
    <w:rsid w:val="00F21C92"/>
    <w:rsid w:val="00F25221"/>
    <w:rsid w:val="00F52E17"/>
    <w:rsid w:val="00F54FC9"/>
    <w:rsid w:val="00F63440"/>
    <w:rsid w:val="00F66216"/>
    <w:rsid w:val="00F70E58"/>
    <w:rsid w:val="00F85015"/>
    <w:rsid w:val="00F87EF9"/>
    <w:rsid w:val="00FA467E"/>
    <w:rsid w:val="00FA4F9D"/>
    <w:rsid w:val="00FB24CD"/>
    <w:rsid w:val="00FB30CB"/>
    <w:rsid w:val="00FC0356"/>
    <w:rsid w:val="00FC2562"/>
    <w:rsid w:val="00FC751D"/>
    <w:rsid w:val="00FC7D7B"/>
    <w:rsid w:val="00FD321F"/>
    <w:rsid w:val="00FD5789"/>
    <w:rsid w:val="00FE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A9F105"/>
  <w15:docId w15:val="{4F774789-A4EE-424E-B3CF-86B0296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7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67317"/>
    <w:pPr>
      <w:keepNext/>
      <w:jc w:val="center"/>
      <w:outlineLvl w:val="0"/>
    </w:pPr>
    <w:rPr>
      <w:rFonts w:ascii="Bookman Old Style" w:hAnsi="Bookman Old Style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69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8269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C22441"/>
    <w:pPr>
      <w:spacing w:line="360" w:lineRule="auto"/>
      <w:ind w:firstLine="72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semiHidden/>
    <w:rsid w:val="00C22441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14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0149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F52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67317"/>
    <w:rPr>
      <w:rFonts w:ascii="Bookman Old Style" w:eastAsia="Times New Roman" w:hAnsi="Bookman Old Style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6731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1673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004015"/>
    <w:pPr>
      <w:spacing w:before="100" w:beforeAutospacing="1" w:after="100" w:afterAutospacing="1"/>
    </w:pPr>
  </w:style>
  <w:style w:type="character" w:styleId="ad">
    <w:name w:val="annotation reference"/>
    <w:basedOn w:val="a0"/>
    <w:uiPriority w:val="99"/>
    <w:semiHidden/>
    <w:unhideWhenUsed/>
    <w:rsid w:val="007C2D2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C2D2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C2D2F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C2D2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C2D2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1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26" Type="http://schemas.openxmlformats.org/officeDocument/2006/relationships/image" Target="media/image9.wmf" /><Relationship Id="rId117" Type="http://schemas.openxmlformats.org/officeDocument/2006/relationships/oleObject" Target="embeddings/oleObject57.bin" /><Relationship Id="rId21" Type="http://schemas.openxmlformats.org/officeDocument/2006/relationships/oleObject" Target="embeddings/oleObject6.bin" /><Relationship Id="rId42" Type="http://schemas.openxmlformats.org/officeDocument/2006/relationships/image" Target="media/image17.wmf" /><Relationship Id="rId47" Type="http://schemas.openxmlformats.org/officeDocument/2006/relationships/image" Target="media/image19.wmf" /><Relationship Id="rId63" Type="http://schemas.openxmlformats.org/officeDocument/2006/relationships/image" Target="media/image26.wmf" /><Relationship Id="rId68" Type="http://schemas.openxmlformats.org/officeDocument/2006/relationships/oleObject" Target="embeddings/oleObject31.bin" /><Relationship Id="rId84" Type="http://schemas.openxmlformats.org/officeDocument/2006/relationships/oleObject" Target="embeddings/oleObject39.bin" /><Relationship Id="rId89" Type="http://schemas.openxmlformats.org/officeDocument/2006/relationships/oleObject" Target="embeddings/oleObject42.bin" /><Relationship Id="rId112" Type="http://schemas.openxmlformats.org/officeDocument/2006/relationships/image" Target="media/image49.wmf" /><Relationship Id="rId133" Type="http://schemas.openxmlformats.org/officeDocument/2006/relationships/oleObject" Target="embeddings/oleObject65.bin" /><Relationship Id="rId138" Type="http://schemas.openxmlformats.org/officeDocument/2006/relationships/image" Target="media/image62.wmf" /><Relationship Id="rId154" Type="http://schemas.openxmlformats.org/officeDocument/2006/relationships/image" Target="media/image68.wmf" /><Relationship Id="rId159" Type="http://schemas.openxmlformats.org/officeDocument/2006/relationships/oleObject" Target="embeddings/oleObject80.bin" /><Relationship Id="rId175" Type="http://schemas.openxmlformats.org/officeDocument/2006/relationships/theme" Target="theme/theme1.xml" /><Relationship Id="rId170" Type="http://schemas.openxmlformats.org/officeDocument/2006/relationships/image" Target="media/image75.wmf" /><Relationship Id="rId16" Type="http://schemas.openxmlformats.org/officeDocument/2006/relationships/image" Target="media/image4.wmf" /><Relationship Id="rId107" Type="http://schemas.openxmlformats.org/officeDocument/2006/relationships/oleObject" Target="embeddings/oleObject52.bin" /><Relationship Id="rId11" Type="http://schemas.openxmlformats.org/officeDocument/2006/relationships/oleObject" Target="embeddings/oleObject1.bin" /><Relationship Id="rId32" Type="http://schemas.openxmlformats.org/officeDocument/2006/relationships/image" Target="media/image12.wmf" /><Relationship Id="rId37" Type="http://schemas.openxmlformats.org/officeDocument/2006/relationships/oleObject" Target="embeddings/oleObject14.bin" /><Relationship Id="rId53" Type="http://schemas.openxmlformats.org/officeDocument/2006/relationships/image" Target="media/image22.wmf" /><Relationship Id="rId58" Type="http://schemas.openxmlformats.org/officeDocument/2006/relationships/oleObject" Target="embeddings/oleObject25.bin" /><Relationship Id="rId74" Type="http://schemas.openxmlformats.org/officeDocument/2006/relationships/oleObject" Target="embeddings/oleObject34.bin" /><Relationship Id="rId79" Type="http://schemas.openxmlformats.org/officeDocument/2006/relationships/image" Target="media/image34.wmf" /><Relationship Id="rId102" Type="http://schemas.openxmlformats.org/officeDocument/2006/relationships/oleObject" Target="embeddings/oleObject49.bin" /><Relationship Id="rId123" Type="http://schemas.openxmlformats.org/officeDocument/2006/relationships/oleObject" Target="embeddings/oleObject60.bin" /><Relationship Id="rId128" Type="http://schemas.openxmlformats.org/officeDocument/2006/relationships/image" Target="media/image57.wmf" /><Relationship Id="rId144" Type="http://schemas.openxmlformats.org/officeDocument/2006/relationships/image" Target="media/image65.wmf" /><Relationship Id="rId149" Type="http://schemas.openxmlformats.org/officeDocument/2006/relationships/oleObject" Target="embeddings/oleObject73.bin" /><Relationship Id="rId5" Type="http://schemas.openxmlformats.org/officeDocument/2006/relationships/styles" Target="styles.xml" /><Relationship Id="rId90" Type="http://schemas.openxmlformats.org/officeDocument/2006/relationships/image" Target="media/image39.wmf" /><Relationship Id="rId95" Type="http://schemas.openxmlformats.org/officeDocument/2006/relationships/oleObject" Target="embeddings/oleObject45.bin" /><Relationship Id="rId160" Type="http://schemas.openxmlformats.org/officeDocument/2006/relationships/image" Target="media/image71.wmf" /><Relationship Id="rId165" Type="http://schemas.openxmlformats.org/officeDocument/2006/relationships/oleObject" Target="embeddings/oleObject84.bin" /><Relationship Id="rId22" Type="http://schemas.openxmlformats.org/officeDocument/2006/relationships/image" Target="media/image7.wmf" /><Relationship Id="rId27" Type="http://schemas.openxmlformats.org/officeDocument/2006/relationships/oleObject" Target="embeddings/oleObject9.bin" /><Relationship Id="rId43" Type="http://schemas.openxmlformats.org/officeDocument/2006/relationships/oleObject" Target="embeddings/oleObject17.bin" /><Relationship Id="rId48" Type="http://schemas.openxmlformats.org/officeDocument/2006/relationships/oleObject" Target="embeddings/oleObject20.bin" /><Relationship Id="rId64" Type="http://schemas.openxmlformats.org/officeDocument/2006/relationships/oleObject" Target="embeddings/oleObject29.bin" /><Relationship Id="rId69" Type="http://schemas.openxmlformats.org/officeDocument/2006/relationships/image" Target="media/image29.wmf" /><Relationship Id="rId113" Type="http://schemas.openxmlformats.org/officeDocument/2006/relationships/oleObject" Target="embeddings/oleObject55.bin" /><Relationship Id="rId118" Type="http://schemas.openxmlformats.org/officeDocument/2006/relationships/image" Target="media/image52.wmf" /><Relationship Id="rId134" Type="http://schemas.openxmlformats.org/officeDocument/2006/relationships/image" Target="media/image60.wmf" /><Relationship Id="rId139" Type="http://schemas.openxmlformats.org/officeDocument/2006/relationships/oleObject" Target="embeddings/oleObject68.bin" /><Relationship Id="rId80" Type="http://schemas.openxmlformats.org/officeDocument/2006/relationships/oleObject" Target="embeddings/oleObject37.bin" /><Relationship Id="rId85" Type="http://schemas.openxmlformats.org/officeDocument/2006/relationships/oleObject" Target="embeddings/oleObject40.bin" /><Relationship Id="rId150" Type="http://schemas.openxmlformats.org/officeDocument/2006/relationships/oleObject" Target="embeddings/oleObject74.bin" /><Relationship Id="rId155" Type="http://schemas.openxmlformats.org/officeDocument/2006/relationships/oleObject" Target="embeddings/oleObject78.bin" /><Relationship Id="rId171" Type="http://schemas.openxmlformats.org/officeDocument/2006/relationships/oleObject" Target="embeddings/oleObject87.bin" /><Relationship Id="rId12" Type="http://schemas.openxmlformats.org/officeDocument/2006/relationships/image" Target="media/image2.wmf" /><Relationship Id="rId17" Type="http://schemas.openxmlformats.org/officeDocument/2006/relationships/oleObject" Target="embeddings/oleObject4.bin" /><Relationship Id="rId33" Type="http://schemas.openxmlformats.org/officeDocument/2006/relationships/oleObject" Target="embeddings/oleObject12.bin" /><Relationship Id="rId38" Type="http://schemas.openxmlformats.org/officeDocument/2006/relationships/image" Target="media/image15.wmf" /><Relationship Id="rId59" Type="http://schemas.openxmlformats.org/officeDocument/2006/relationships/image" Target="media/image25.wmf" /><Relationship Id="rId103" Type="http://schemas.openxmlformats.org/officeDocument/2006/relationships/oleObject" Target="embeddings/oleObject50.bin" /><Relationship Id="rId108" Type="http://schemas.openxmlformats.org/officeDocument/2006/relationships/image" Target="media/image47.wmf" /><Relationship Id="rId124" Type="http://schemas.openxmlformats.org/officeDocument/2006/relationships/image" Target="media/image55.wmf" /><Relationship Id="rId129" Type="http://schemas.openxmlformats.org/officeDocument/2006/relationships/oleObject" Target="embeddings/oleObject63.bin" /><Relationship Id="rId54" Type="http://schemas.openxmlformats.org/officeDocument/2006/relationships/oleObject" Target="embeddings/oleObject23.bin" /><Relationship Id="rId70" Type="http://schemas.openxmlformats.org/officeDocument/2006/relationships/oleObject" Target="embeddings/oleObject32.bin" /><Relationship Id="rId75" Type="http://schemas.openxmlformats.org/officeDocument/2006/relationships/image" Target="media/image32.wmf" /><Relationship Id="rId91" Type="http://schemas.openxmlformats.org/officeDocument/2006/relationships/oleObject" Target="embeddings/oleObject43.bin" /><Relationship Id="rId96" Type="http://schemas.openxmlformats.org/officeDocument/2006/relationships/image" Target="media/image42.wmf" /><Relationship Id="rId140" Type="http://schemas.openxmlformats.org/officeDocument/2006/relationships/image" Target="media/image63.wmf" /><Relationship Id="rId145" Type="http://schemas.openxmlformats.org/officeDocument/2006/relationships/oleObject" Target="embeddings/oleObject71.bin" /><Relationship Id="rId161" Type="http://schemas.openxmlformats.org/officeDocument/2006/relationships/oleObject" Target="embeddings/oleObject81.bin" /><Relationship Id="rId166" Type="http://schemas.openxmlformats.org/officeDocument/2006/relationships/image" Target="media/image73.wmf" /><Relationship Id="rId6" Type="http://schemas.openxmlformats.org/officeDocument/2006/relationships/settings" Target="settings.xml" /><Relationship Id="rId23" Type="http://schemas.openxmlformats.org/officeDocument/2006/relationships/oleObject" Target="embeddings/oleObject7.bin" /><Relationship Id="rId28" Type="http://schemas.openxmlformats.org/officeDocument/2006/relationships/image" Target="media/image10.wmf" /><Relationship Id="rId49" Type="http://schemas.openxmlformats.org/officeDocument/2006/relationships/image" Target="media/image20.wmf" /><Relationship Id="rId114" Type="http://schemas.openxmlformats.org/officeDocument/2006/relationships/image" Target="media/image50.wmf" /><Relationship Id="rId119" Type="http://schemas.openxmlformats.org/officeDocument/2006/relationships/oleObject" Target="embeddings/oleObject58.bin" /><Relationship Id="rId10" Type="http://schemas.openxmlformats.org/officeDocument/2006/relationships/image" Target="media/image1.wmf" /><Relationship Id="rId31" Type="http://schemas.openxmlformats.org/officeDocument/2006/relationships/oleObject" Target="embeddings/oleObject11.bin" /><Relationship Id="rId44" Type="http://schemas.openxmlformats.org/officeDocument/2006/relationships/image" Target="media/image18.wmf" /><Relationship Id="rId52" Type="http://schemas.openxmlformats.org/officeDocument/2006/relationships/oleObject" Target="embeddings/oleObject22.bin" /><Relationship Id="rId60" Type="http://schemas.openxmlformats.org/officeDocument/2006/relationships/oleObject" Target="embeddings/oleObject26.bin" /><Relationship Id="rId65" Type="http://schemas.openxmlformats.org/officeDocument/2006/relationships/image" Target="media/image27.wmf" /><Relationship Id="rId73" Type="http://schemas.openxmlformats.org/officeDocument/2006/relationships/image" Target="media/image31.wmf" /><Relationship Id="rId78" Type="http://schemas.openxmlformats.org/officeDocument/2006/relationships/oleObject" Target="embeddings/oleObject36.bin" /><Relationship Id="rId81" Type="http://schemas.openxmlformats.org/officeDocument/2006/relationships/image" Target="media/image35.wmf" /><Relationship Id="rId86" Type="http://schemas.openxmlformats.org/officeDocument/2006/relationships/image" Target="media/image37.wmf" /><Relationship Id="rId94" Type="http://schemas.openxmlformats.org/officeDocument/2006/relationships/image" Target="media/image41.wmf" /><Relationship Id="rId99" Type="http://schemas.openxmlformats.org/officeDocument/2006/relationships/image" Target="media/image43.wmf" /><Relationship Id="rId101" Type="http://schemas.openxmlformats.org/officeDocument/2006/relationships/image" Target="media/image44.wmf" /><Relationship Id="rId122" Type="http://schemas.openxmlformats.org/officeDocument/2006/relationships/image" Target="media/image54.wmf" /><Relationship Id="rId130" Type="http://schemas.openxmlformats.org/officeDocument/2006/relationships/image" Target="media/image58.wmf" /><Relationship Id="rId135" Type="http://schemas.openxmlformats.org/officeDocument/2006/relationships/oleObject" Target="embeddings/oleObject66.bin" /><Relationship Id="rId143" Type="http://schemas.openxmlformats.org/officeDocument/2006/relationships/oleObject" Target="embeddings/oleObject70.bin" /><Relationship Id="rId148" Type="http://schemas.openxmlformats.org/officeDocument/2006/relationships/image" Target="media/image67.wmf" /><Relationship Id="rId151" Type="http://schemas.openxmlformats.org/officeDocument/2006/relationships/oleObject" Target="embeddings/oleObject75.bin" /><Relationship Id="rId156" Type="http://schemas.openxmlformats.org/officeDocument/2006/relationships/image" Target="media/image69.wmf" /><Relationship Id="rId164" Type="http://schemas.openxmlformats.org/officeDocument/2006/relationships/image" Target="media/image72.wmf" /><Relationship Id="rId169" Type="http://schemas.openxmlformats.org/officeDocument/2006/relationships/oleObject" Target="embeddings/oleObject86.bin" /><Relationship Id="rId9" Type="http://schemas.openxmlformats.org/officeDocument/2006/relationships/endnotes" Target="endnotes.xml" /><Relationship Id="rId172" Type="http://schemas.openxmlformats.org/officeDocument/2006/relationships/footer" Target="footer1.xml" /><Relationship Id="rId13" Type="http://schemas.openxmlformats.org/officeDocument/2006/relationships/oleObject" Target="embeddings/oleObject2.bin" /><Relationship Id="rId18" Type="http://schemas.openxmlformats.org/officeDocument/2006/relationships/image" Target="media/image5.wmf" /><Relationship Id="rId39" Type="http://schemas.openxmlformats.org/officeDocument/2006/relationships/oleObject" Target="embeddings/oleObject15.bin" /><Relationship Id="rId109" Type="http://schemas.openxmlformats.org/officeDocument/2006/relationships/oleObject" Target="embeddings/oleObject53.bin" /><Relationship Id="rId34" Type="http://schemas.openxmlformats.org/officeDocument/2006/relationships/image" Target="media/image13.wmf" /><Relationship Id="rId50" Type="http://schemas.openxmlformats.org/officeDocument/2006/relationships/oleObject" Target="embeddings/oleObject21.bin" /><Relationship Id="rId55" Type="http://schemas.openxmlformats.org/officeDocument/2006/relationships/image" Target="media/image23.wmf" /><Relationship Id="rId76" Type="http://schemas.openxmlformats.org/officeDocument/2006/relationships/oleObject" Target="embeddings/oleObject35.bin" /><Relationship Id="rId97" Type="http://schemas.openxmlformats.org/officeDocument/2006/relationships/oleObject" Target="embeddings/oleObject46.bin" /><Relationship Id="rId104" Type="http://schemas.openxmlformats.org/officeDocument/2006/relationships/image" Target="media/image45.wmf" /><Relationship Id="rId120" Type="http://schemas.openxmlformats.org/officeDocument/2006/relationships/image" Target="media/image53.wmf" /><Relationship Id="rId125" Type="http://schemas.openxmlformats.org/officeDocument/2006/relationships/oleObject" Target="embeddings/oleObject61.bin" /><Relationship Id="rId141" Type="http://schemas.openxmlformats.org/officeDocument/2006/relationships/oleObject" Target="embeddings/oleObject69.bin" /><Relationship Id="rId146" Type="http://schemas.openxmlformats.org/officeDocument/2006/relationships/image" Target="media/image66.wmf" /><Relationship Id="rId167" Type="http://schemas.openxmlformats.org/officeDocument/2006/relationships/oleObject" Target="embeddings/oleObject85.bin" /><Relationship Id="rId7" Type="http://schemas.openxmlformats.org/officeDocument/2006/relationships/webSettings" Target="webSettings.xml" /><Relationship Id="rId71" Type="http://schemas.openxmlformats.org/officeDocument/2006/relationships/image" Target="media/image30.wmf" /><Relationship Id="rId92" Type="http://schemas.openxmlformats.org/officeDocument/2006/relationships/image" Target="media/image40.wmf" /><Relationship Id="rId162" Type="http://schemas.openxmlformats.org/officeDocument/2006/relationships/oleObject" Target="embeddings/oleObject82.bin" /><Relationship Id="rId29" Type="http://schemas.openxmlformats.org/officeDocument/2006/relationships/oleObject" Target="embeddings/oleObject10.bin" /><Relationship Id="rId24" Type="http://schemas.openxmlformats.org/officeDocument/2006/relationships/image" Target="media/image8.wmf" /><Relationship Id="rId40" Type="http://schemas.openxmlformats.org/officeDocument/2006/relationships/image" Target="media/image16.wmf" /><Relationship Id="rId45" Type="http://schemas.openxmlformats.org/officeDocument/2006/relationships/oleObject" Target="embeddings/oleObject18.bin" /><Relationship Id="rId66" Type="http://schemas.openxmlformats.org/officeDocument/2006/relationships/oleObject" Target="embeddings/oleObject30.bin" /><Relationship Id="rId87" Type="http://schemas.openxmlformats.org/officeDocument/2006/relationships/oleObject" Target="embeddings/oleObject41.bin" /><Relationship Id="rId110" Type="http://schemas.openxmlformats.org/officeDocument/2006/relationships/image" Target="media/image48.wmf" /><Relationship Id="rId115" Type="http://schemas.openxmlformats.org/officeDocument/2006/relationships/oleObject" Target="embeddings/oleObject56.bin" /><Relationship Id="rId131" Type="http://schemas.openxmlformats.org/officeDocument/2006/relationships/oleObject" Target="embeddings/oleObject64.bin" /><Relationship Id="rId136" Type="http://schemas.openxmlformats.org/officeDocument/2006/relationships/image" Target="media/image61.wmf" /><Relationship Id="rId157" Type="http://schemas.openxmlformats.org/officeDocument/2006/relationships/oleObject" Target="embeddings/oleObject79.bin" /><Relationship Id="rId61" Type="http://schemas.openxmlformats.org/officeDocument/2006/relationships/oleObject" Target="embeddings/oleObject27.bin" /><Relationship Id="rId82" Type="http://schemas.openxmlformats.org/officeDocument/2006/relationships/oleObject" Target="embeddings/oleObject38.bin" /><Relationship Id="rId152" Type="http://schemas.openxmlformats.org/officeDocument/2006/relationships/oleObject" Target="embeddings/oleObject76.bin" /><Relationship Id="rId173" Type="http://schemas.openxmlformats.org/officeDocument/2006/relationships/footer" Target="footer2.xml" /><Relationship Id="rId19" Type="http://schemas.openxmlformats.org/officeDocument/2006/relationships/oleObject" Target="embeddings/oleObject5.bin" /><Relationship Id="rId14" Type="http://schemas.openxmlformats.org/officeDocument/2006/relationships/image" Target="media/image3.wmf" /><Relationship Id="rId30" Type="http://schemas.openxmlformats.org/officeDocument/2006/relationships/image" Target="media/image11.wmf" /><Relationship Id="rId35" Type="http://schemas.openxmlformats.org/officeDocument/2006/relationships/oleObject" Target="embeddings/oleObject13.bin" /><Relationship Id="rId56" Type="http://schemas.openxmlformats.org/officeDocument/2006/relationships/oleObject" Target="embeddings/oleObject24.bin" /><Relationship Id="rId77" Type="http://schemas.openxmlformats.org/officeDocument/2006/relationships/image" Target="media/image33.wmf" /><Relationship Id="rId100" Type="http://schemas.openxmlformats.org/officeDocument/2006/relationships/oleObject" Target="embeddings/oleObject48.bin" /><Relationship Id="rId105" Type="http://schemas.openxmlformats.org/officeDocument/2006/relationships/oleObject" Target="embeddings/oleObject51.bin" /><Relationship Id="rId126" Type="http://schemas.openxmlformats.org/officeDocument/2006/relationships/image" Target="media/image56.wmf" /><Relationship Id="rId147" Type="http://schemas.openxmlformats.org/officeDocument/2006/relationships/oleObject" Target="embeddings/oleObject72.bin" /><Relationship Id="rId168" Type="http://schemas.openxmlformats.org/officeDocument/2006/relationships/image" Target="media/image74.wmf" /><Relationship Id="rId8" Type="http://schemas.openxmlformats.org/officeDocument/2006/relationships/footnotes" Target="footnotes.xml" /><Relationship Id="rId51" Type="http://schemas.openxmlformats.org/officeDocument/2006/relationships/image" Target="media/image21.wmf" /><Relationship Id="rId72" Type="http://schemas.openxmlformats.org/officeDocument/2006/relationships/oleObject" Target="embeddings/oleObject33.bin" /><Relationship Id="rId93" Type="http://schemas.openxmlformats.org/officeDocument/2006/relationships/oleObject" Target="embeddings/oleObject44.bin" /><Relationship Id="rId98" Type="http://schemas.openxmlformats.org/officeDocument/2006/relationships/oleObject" Target="embeddings/oleObject47.bin" /><Relationship Id="rId121" Type="http://schemas.openxmlformats.org/officeDocument/2006/relationships/oleObject" Target="embeddings/oleObject59.bin" /><Relationship Id="rId142" Type="http://schemas.openxmlformats.org/officeDocument/2006/relationships/image" Target="media/image64.wmf" /><Relationship Id="rId163" Type="http://schemas.openxmlformats.org/officeDocument/2006/relationships/oleObject" Target="embeddings/oleObject83.bin" /><Relationship Id="rId25" Type="http://schemas.openxmlformats.org/officeDocument/2006/relationships/oleObject" Target="embeddings/oleObject8.bin" /><Relationship Id="rId46" Type="http://schemas.openxmlformats.org/officeDocument/2006/relationships/oleObject" Target="embeddings/oleObject19.bin" /><Relationship Id="rId67" Type="http://schemas.openxmlformats.org/officeDocument/2006/relationships/image" Target="media/image28.wmf" /><Relationship Id="rId116" Type="http://schemas.openxmlformats.org/officeDocument/2006/relationships/image" Target="media/image51.wmf" /><Relationship Id="rId137" Type="http://schemas.openxmlformats.org/officeDocument/2006/relationships/oleObject" Target="embeddings/oleObject67.bin" /><Relationship Id="rId158" Type="http://schemas.openxmlformats.org/officeDocument/2006/relationships/image" Target="media/image70.wmf" /><Relationship Id="rId20" Type="http://schemas.openxmlformats.org/officeDocument/2006/relationships/image" Target="media/image6.wmf" /><Relationship Id="rId41" Type="http://schemas.openxmlformats.org/officeDocument/2006/relationships/oleObject" Target="embeddings/oleObject16.bin" /><Relationship Id="rId62" Type="http://schemas.openxmlformats.org/officeDocument/2006/relationships/oleObject" Target="embeddings/oleObject28.bin" /><Relationship Id="rId83" Type="http://schemas.openxmlformats.org/officeDocument/2006/relationships/image" Target="media/image36.wmf" /><Relationship Id="rId88" Type="http://schemas.openxmlformats.org/officeDocument/2006/relationships/image" Target="media/image38.wmf" /><Relationship Id="rId111" Type="http://schemas.openxmlformats.org/officeDocument/2006/relationships/oleObject" Target="embeddings/oleObject54.bin" /><Relationship Id="rId132" Type="http://schemas.openxmlformats.org/officeDocument/2006/relationships/image" Target="media/image59.wmf" /><Relationship Id="rId153" Type="http://schemas.openxmlformats.org/officeDocument/2006/relationships/oleObject" Target="embeddings/oleObject77.bin" /><Relationship Id="rId174" Type="http://schemas.openxmlformats.org/officeDocument/2006/relationships/fontTable" Target="fontTable.xml" /><Relationship Id="rId15" Type="http://schemas.openxmlformats.org/officeDocument/2006/relationships/oleObject" Target="embeddings/oleObject3.bin" /><Relationship Id="rId36" Type="http://schemas.openxmlformats.org/officeDocument/2006/relationships/image" Target="media/image14.wmf" /><Relationship Id="rId57" Type="http://schemas.openxmlformats.org/officeDocument/2006/relationships/image" Target="media/image24.wmf" /><Relationship Id="rId106" Type="http://schemas.openxmlformats.org/officeDocument/2006/relationships/image" Target="media/image46.wmf" /><Relationship Id="rId127" Type="http://schemas.openxmlformats.org/officeDocument/2006/relationships/oleObject" Target="embeddings/oleObject62.bin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2290</Words>
  <Characters>13059</Characters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15319</CharactersWithSpaces>
  <SharedDoc>false</SharedDoc>
  <HyperlinksChanged>false</HyperlinksChanged>
</Properties>
</file>